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3C17" w14:textId="77777777" w:rsidR="00C035A5" w:rsidRPr="00301B0F" w:rsidRDefault="00C035A5" w:rsidP="00C035A5">
      <w:pPr>
        <w:jc w:val="right"/>
        <w:rPr>
          <w:color w:val="000000" w:themeColor="text1"/>
          <w:lang w:val="en-GB"/>
        </w:rPr>
      </w:pPr>
    </w:p>
    <w:p w14:paraId="19170388" w14:textId="0FD446A0" w:rsidR="00C035A5" w:rsidRPr="00301B0F" w:rsidRDefault="00AF1C31" w:rsidP="00C035A5">
      <w:pPr>
        <w:jc w:val="center"/>
        <w:rPr>
          <w:b/>
          <w:color w:val="000000" w:themeColor="text1"/>
          <w:lang w:val="en-GB"/>
        </w:rPr>
      </w:pPr>
      <w:r w:rsidRPr="00301B0F">
        <w:rPr>
          <w:b/>
          <w:color w:val="000000" w:themeColor="text1"/>
          <w:lang w:val="en-GB"/>
        </w:rPr>
        <w:t>NATIONAL BANK OF MOLDOVA</w:t>
      </w:r>
    </w:p>
    <w:p w14:paraId="22EF31A7" w14:textId="77777777" w:rsidR="00C035A5" w:rsidRPr="00301B0F" w:rsidRDefault="00C035A5" w:rsidP="00C035A5">
      <w:pPr>
        <w:jc w:val="center"/>
        <w:rPr>
          <w:b/>
          <w:color w:val="000000" w:themeColor="text1"/>
          <w:lang w:val="en-GB"/>
        </w:rPr>
      </w:pPr>
    </w:p>
    <w:p w14:paraId="4D50A4D1" w14:textId="77777777" w:rsidR="00C035A5" w:rsidRPr="00301B0F" w:rsidRDefault="00C035A5" w:rsidP="00C035A5">
      <w:pPr>
        <w:jc w:val="center"/>
        <w:rPr>
          <w:b/>
          <w:color w:val="000000" w:themeColor="text1"/>
          <w:lang w:val="en-GB"/>
        </w:rPr>
      </w:pPr>
    </w:p>
    <w:p w14:paraId="205BC6A1" w14:textId="15660677" w:rsidR="00C035A5" w:rsidRPr="00301B0F" w:rsidRDefault="00AF1C31" w:rsidP="00A0385C">
      <w:pPr>
        <w:jc w:val="center"/>
        <w:rPr>
          <w:b/>
          <w:color w:val="000000" w:themeColor="text1"/>
          <w:lang w:val="en-GB"/>
        </w:rPr>
      </w:pPr>
      <w:r w:rsidRPr="00301B0F">
        <w:rPr>
          <w:b/>
          <w:noProof/>
          <w:lang w:val="en-GB"/>
        </w:rPr>
        <w:t>DECISION</w:t>
      </w:r>
    </w:p>
    <w:p w14:paraId="7BDFD79D" w14:textId="77777777" w:rsidR="00C035A5" w:rsidRPr="00301B0F" w:rsidRDefault="00C035A5" w:rsidP="00C035A5">
      <w:pPr>
        <w:jc w:val="center"/>
        <w:rPr>
          <w:b/>
          <w:color w:val="000000" w:themeColor="text1"/>
          <w:lang w:val="en-GB"/>
        </w:rPr>
      </w:pPr>
    </w:p>
    <w:p w14:paraId="2CD3E374" w14:textId="071AACF0" w:rsidR="00C4642C" w:rsidRPr="00301B0F" w:rsidRDefault="00AF1C31" w:rsidP="00360518">
      <w:pPr>
        <w:jc w:val="center"/>
        <w:rPr>
          <w:b/>
          <w:color w:val="000000" w:themeColor="text1"/>
          <w:lang w:val="en-GB"/>
        </w:rPr>
      </w:pPr>
      <w:bookmarkStart w:id="0" w:name="_Hlk163722222"/>
      <w:r w:rsidRPr="00301B0F">
        <w:rPr>
          <w:b/>
          <w:color w:val="000000" w:themeColor="text1"/>
          <w:lang w:val="en-GB"/>
        </w:rPr>
        <w:t>on the amendment of Decision No 112/2018 of the Executive Board of the National Bank of Moldova regarding the approval of the Regulation on credit risk mitigation techniques of banks</w:t>
      </w:r>
    </w:p>
    <w:p w14:paraId="4F4D6A4C" w14:textId="77777777" w:rsidR="00AF1C31" w:rsidRPr="00301B0F" w:rsidRDefault="00AF1C31" w:rsidP="00360518">
      <w:pPr>
        <w:jc w:val="center"/>
        <w:rPr>
          <w:b/>
          <w:color w:val="000000" w:themeColor="text1"/>
          <w:lang w:val="en-GB"/>
        </w:rPr>
      </w:pPr>
    </w:p>
    <w:bookmarkEnd w:id="0"/>
    <w:p w14:paraId="527DBD48" w14:textId="59928EBC" w:rsidR="00C035A5" w:rsidRPr="00301B0F" w:rsidRDefault="00AF1C31" w:rsidP="00C035A5">
      <w:pPr>
        <w:jc w:val="center"/>
        <w:rPr>
          <w:b/>
          <w:color w:val="000000" w:themeColor="text1"/>
          <w:lang w:val="en-GB"/>
        </w:rPr>
      </w:pPr>
      <w:r w:rsidRPr="00301B0F">
        <w:rPr>
          <w:b/>
          <w:color w:val="000000" w:themeColor="text1"/>
          <w:lang w:val="en-GB"/>
        </w:rPr>
        <w:t>No</w:t>
      </w:r>
      <w:r w:rsidR="006453CB" w:rsidRPr="00301B0F">
        <w:rPr>
          <w:b/>
          <w:color w:val="000000" w:themeColor="text1"/>
          <w:lang w:val="en-GB"/>
        </w:rPr>
        <w:t xml:space="preserve"> 143 </w:t>
      </w:r>
      <w:r w:rsidRPr="00301B0F">
        <w:rPr>
          <w:b/>
          <w:color w:val="000000" w:themeColor="text1"/>
          <w:lang w:val="en-GB"/>
        </w:rPr>
        <w:t>of</w:t>
      </w:r>
      <w:r w:rsidR="006453CB" w:rsidRPr="00301B0F">
        <w:rPr>
          <w:b/>
          <w:color w:val="000000" w:themeColor="text1"/>
          <w:lang w:val="en-GB"/>
        </w:rPr>
        <w:t xml:space="preserve"> 17</w:t>
      </w:r>
      <w:r w:rsidRPr="00301B0F">
        <w:rPr>
          <w:b/>
          <w:color w:val="000000" w:themeColor="text1"/>
          <w:lang w:val="en-GB"/>
        </w:rPr>
        <w:t xml:space="preserve"> June </w:t>
      </w:r>
      <w:r w:rsidR="006453CB" w:rsidRPr="00301B0F">
        <w:rPr>
          <w:b/>
          <w:color w:val="000000" w:themeColor="text1"/>
          <w:lang w:val="en-GB"/>
        </w:rPr>
        <w:t>2026</w:t>
      </w:r>
    </w:p>
    <w:p w14:paraId="04E00CEB" w14:textId="345183F1" w:rsidR="00416925" w:rsidRPr="00301B0F" w:rsidRDefault="00416925" w:rsidP="00C035A5">
      <w:pPr>
        <w:jc w:val="center"/>
        <w:rPr>
          <w:bCs/>
          <w:i/>
          <w:iCs/>
          <w:color w:val="000000" w:themeColor="text1"/>
          <w:lang w:val="en-GB"/>
        </w:rPr>
      </w:pPr>
      <w:r w:rsidRPr="00301B0F">
        <w:rPr>
          <w:bCs/>
          <w:i/>
          <w:iCs/>
          <w:color w:val="000000" w:themeColor="text1"/>
          <w:lang w:val="en-GB"/>
        </w:rPr>
        <w:t>(</w:t>
      </w:r>
      <w:r w:rsidR="00AF1C31" w:rsidRPr="00301B0F">
        <w:rPr>
          <w:bCs/>
          <w:i/>
          <w:iCs/>
          <w:color w:val="000000" w:themeColor="text1"/>
          <w:lang w:val="en-GB"/>
        </w:rPr>
        <w:t>in force as of 1 July 2027, except for certain provisions set forth in paragraph 2</w:t>
      </w:r>
      <w:r w:rsidRPr="00301B0F">
        <w:rPr>
          <w:bCs/>
          <w:i/>
          <w:iCs/>
          <w:color w:val="000000" w:themeColor="text1"/>
          <w:lang w:val="en-GB"/>
        </w:rPr>
        <w:t>)</w:t>
      </w:r>
    </w:p>
    <w:p w14:paraId="67F8FD3D" w14:textId="77777777" w:rsidR="00416925" w:rsidRPr="00301B0F" w:rsidRDefault="00416925" w:rsidP="00C035A5">
      <w:pPr>
        <w:jc w:val="center"/>
        <w:rPr>
          <w:bCs/>
          <w:i/>
          <w:iCs/>
          <w:color w:val="000000" w:themeColor="text1"/>
          <w:lang w:val="en-GB"/>
        </w:rPr>
      </w:pPr>
    </w:p>
    <w:p w14:paraId="070C59B8" w14:textId="1358D96F" w:rsidR="00A0385C" w:rsidRPr="00301B0F" w:rsidRDefault="00AF1C31" w:rsidP="00C4642C">
      <w:pPr>
        <w:spacing w:before="120" w:after="120"/>
        <w:jc w:val="center"/>
        <w:rPr>
          <w:bCs/>
          <w:color w:val="000000" w:themeColor="text1"/>
          <w:lang w:val="en-GB"/>
        </w:rPr>
      </w:pPr>
      <w:r w:rsidRPr="00301B0F">
        <w:rPr>
          <w:bCs/>
          <w:color w:val="000000" w:themeColor="text1"/>
          <w:lang w:val="en-GB"/>
        </w:rPr>
        <w:t>Official Gazette of the Republic of Moldova, No 277–279, Article 489, of 25 June 2026</w:t>
      </w:r>
    </w:p>
    <w:p w14:paraId="440511A8" w14:textId="77777777" w:rsidR="00CE759C" w:rsidRPr="00301B0F" w:rsidRDefault="00CE759C" w:rsidP="00CE759C">
      <w:pPr>
        <w:spacing w:after="160" w:line="278" w:lineRule="auto"/>
        <w:jc w:val="center"/>
        <w:rPr>
          <w:lang w:val="en-GB"/>
        </w:rPr>
      </w:pPr>
      <w:r w:rsidRPr="00301B0F">
        <w:rPr>
          <w:lang w:val="en-GB"/>
        </w:rPr>
        <w:t>* * *</w:t>
      </w:r>
    </w:p>
    <w:p w14:paraId="3CD367E5" w14:textId="37357C74" w:rsidR="00C035A5" w:rsidRPr="00301B0F" w:rsidRDefault="00686C7E" w:rsidP="00C035A5">
      <w:pPr>
        <w:tabs>
          <w:tab w:val="left" w:pos="1134"/>
        </w:tabs>
        <w:ind w:firstLine="426"/>
        <w:jc w:val="both"/>
        <w:rPr>
          <w:color w:val="000000" w:themeColor="text1"/>
          <w:lang w:val="en-GB" w:eastAsia="ru-RU"/>
        </w:rPr>
      </w:pPr>
      <w:r w:rsidRPr="00301B0F">
        <w:rPr>
          <w:color w:val="000000" w:themeColor="text1"/>
          <w:lang w:val="en-GB" w:eastAsia="ru-RU"/>
        </w:rPr>
        <w:t xml:space="preserve">Pursuant to Article 67 of Law No 202/2017 on the activity of banks (Official Gazette of the Republic of Moldova, 2017, No 434–439, Article 727), the Executive Board of the National Bank of Moldova </w:t>
      </w:r>
    </w:p>
    <w:p w14:paraId="154595E2" w14:textId="77777777" w:rsidR="00C035A5" w:rsidRPr="00301B0F" w:rsidRDefault="00C035A5" w:rsidP="00C035A5">
      <w:pPr>
        <w:tabs>
          <w:tab w:val="left" w:pos="1134"/>
        </w:tabs>
        <w:ind w:firstLine="720"/>
        <w:jc w:val="both"/>
        <w:rPr>
          <w:color w:val="000000" w:themeColor="text1"/>
          <w:lang w:val="en-GB" w:eastAsia="ru-RU"/>
        </w:rPr>
      </w:pPr>
    </w:p>
    <w:p w14:paraId="2993C2D7" w14:textId="48382174" w:rsidR="00C035A5" w:rsidRPr="00301B0F" w:rsidRDefault="00686C7E" w:rsidP="00C035A5">
      <w:pPr>
        <w:tabs>
          <w:tab w:val="left" w:pos="1134"/>
        </w:tabs>
        <w:ind w:firstLine="720"/>
        <w:jc w:val="both"/>
        <w:rPr>
          <w:b/>
          <w:color w:val="000000" w:themeColor="text1"/>
          <w:lang w:val="en-GB" w:eastAsia="ru-RU"/>
        </w:rPr>
      </w:pPr>
      <w:r w:rsidRPr="00301B0F">
        <w:rPr>
          <w:b/>
          <w:color w:val="000000" w:themeColor="text1"/>
          <w:lang w:val="en-GB" w:eastAsia="ru-RU"/>
        </w:rPr>
        <w:t>DECIDES</w:t>
      </w:r>
      <w:r w:rsidR="00C035A5" w:rsidRPr="00301B0F">
        <w:rPr>
          <w:b/>
          <w:color w:val="000000" w:themeColor="text1"/>
          <w:lang w:val="en-GB" w:eastAsia="ru-RU"/>
        </w:rPr>
        <w:t>:</w:t>
      </w:r>
    </w:p>
    <w:p w14:paraId="1FBBA749" w14:textId="3F99F56B" w:rsidR="00CD3634" w:rsidRPr="00301B0F" w:rsidRDefault="002C26B7" w:rsidP="00CD3634">
      <w:pPr>
        <w:tabs>
          <w:tab w:val="left" w:pos="1134"/>
        </w:tabs>
        <w:ind w:firstLine="426"/>
        <w:jc w:val="both"/>
        <w:rPr>
          <w:bCs/>
          <w:color w:val="000000" w:themeColor="text1"/>
          <w:lang w:val="en-GB" w:eastAsia="ru-RU"/>
        </w:rPr>
      </w:pPr>
      <w:r w:rsidRPr="00301B0F">
        <w:rPr>
          <w:bCs/>
          <w:color w:val="000000" w:themeColor="text1"/>
          <w:lang w:val="en-GB" w:eastAsia="ru-RU"/>
        </w:rPr>
        <w:t>This Decision partially transposes (transposes: Article 4(1), points 60a, 74a, 111, Article 192, point 5; Article 193 (7); Art.197 (5), (6); Articles 199(1) to (7); Article 201(2); Article 204(3); Article 204a; Articles 209 to 211; Article 212(2); Articles 221(1) to (7); Article 229(1) to (3); Articles 230 to 232 (1) to (3); Article 234; Article 235a to 236a) of Regulation (EU) No 575/2013 of the European Parliament and of the Council of 26 June 2013 on prudential requirements for credit institutions and amending Regulation (EU) No 648/2012, CELEX: 32013R0575, published in the Official Journal of the European Union 176 of 27 June 2013, as last amended by Regulation (EU) 2025/1215 of the European Parliament and of the Council of 17 June 2025</w:t>
      </w:r>
      <w:r w:rsidR="00CD3634" w:rsidRPr="00301B0F">
        <w:rPr>
          <w:bCs/>
          <w:color w:val="000000" w:themeColor="text1"/>
          <w:lang w:val="en-GB" w:eastAsia="ru-RU"/>
        </w:rPr>
        <w:t>.</w:t>
      </w:r>
    </w:p>
    <w:p w14:paraId="7B472B49" w14:textId="77777777" w:rsidR="00301F1A" w:rsidRPr="00301B0F" w:rsidRDefault="00301F1A" w:rsidP="00301F1A">
      <w:pPr>
        <w:tabs>
          <w:tab w:val="left" w:pos="1134"/>
        </w:tabs>
        <w:ind w:firstLine="426"/>
        <w:jc w:val="both"/>
        <w:rPr>
          <w:b/>
          <w:color w:val="000000" w:themeColor="text1"/>
          <w:lang w:val="en-GB" w:eastAsia="ru-RU"/>
        </w:rPr>
      </w:pPr>
    </w:p>
    <w:p w14:paraId="1FBEC95A" w14:textId="6031CB89" w:rsidR="00C035A5" w:rsidRPr="00301B0F" w:rsidRDefault="002C26B7" w:rsidP="00390BFE">
      <w:pPr>
        <w:pStyle w:val="ListParagraph"/>
        <w:numPr>
          <w:ilvl w:val="0"/>
          <w:numId w:val="27"/>
        </w:numPr>
        <w:tabs>
          <w:tab w:val="left" w:pos="567"/>
          <w:tab w:val="left" w:pos="720"/>
        </w:tabs>
        <w:ind w:left="0" w:firstLine="567"/>
        <w:jc w:val="both"/>
        <w:rPr>
          <w:color w:val="000000" w:themeColor="text1"/>
          <w:lang w:val="en-GB"/>
        </w:rPr>
      </w:pPr>
      <w:bookmarkStart w:id="1" w:name="_Hlk168992658"/>
      <w:r w:rsidRPr="00301B0F">
        <w:rPr>
          <w:color w:val="000000" w:themeColor="text1"/>
          <w:lang w:val="en-GB"/>
        </w:rPr>
        <w:t>Decision of the Executive Board of the National Bank of Moldova No112/2018 on the approval of the Regulation on credit risk mitigation techniques of banks, (Official Gazette of the Republic of Moldova, 2018, No183-194, Article 902), registered with the Ministry of Justice of the Republic of Moldova under No 1329/2018, is amended as follows</w:t>
      </w:r>
      <w:r w:rsidR="00646CFD" w:rsidRPr="00301B0F">
        <w:rPr>
          <w:color w:val="000000" w:themeColor="text1"/>
          <w:lang w:val="en-GB" w:eastAsia="ru-RU"/>
        </w:rPr>
        <w:t>:</w:t>
      </w:r>
    </w:p>
    <w:bookmarkEnd w:id="1"/>
    <w:p w14:paraId="13B556B2" w14:textId="776053C4" w:rsidR="00275B40" w:rsidRPr="00301B0F" w:rsidRDefault="002C26B7" w:rsidP="005A2ADB">
      <w:pPr>
        <w:pStyle w:val="ListParagraph"/>
        <w:numPr>
          <w:ilvl w:val="1"/>
          <w:numId w:val="27"/>
        </w:numPr>
        <w:tabs>
          <w:tab w:val="left" w:pos="567"/>
        </w:tabs>
        <w:spacing w:before="80"/>
        <w:ind w:left="0" w:firstLine="567"/>
        <w:jc w:val="both"/>
        <w:rPr>
          <w:color w:val="000000" w:themeColor="text1"/>
          <w:lang w:val="en-GB"/>
        </w:rPr>
      </w:pPr>
      <w:r w:rsidRPr="00301B0F">
        <w:rPr>
          <w:color w:val="000000" w:themeColor="text1"/>
          <w:lang w:val="en-GB"/>
        </w:rPr>
        <w:t>In the adopting clause</w:t>
      </w:r>
      <w:r w:rsidR="00275B40" w:rsidRPr="00301B0F">
        <w:rPr>
          <w:color w:val="000000" w:themeColor="text1"/>
          <w:lang w:val="en-GB"/>
        </w:rPr>
        <w:t>:</w:t>
      </w:r>
    </w:p>
    <w:p w14:paraId="569B0470" w14:textId="5DAC9370" w:rsidR="00275B40" w:rsidRPr="00301B0F" w:rsidRDefault="00F34057" w:rsidP="00DE34A8">
      <w:pPr>
        <w:pStyle w:val="ListParagraph"/>
        <w:numPr>
          <w:ilvl w:val="2"/>
          <w:numId w:val="27"/>
        </w:numPr>
        <w:tabs>
          <w:tab w:val="left" w:pos="567"/>
        </w:tabs>
        <w:spacing w:before="80"/>
        <w:ind w:left="0" w:firstLine="567"/>
        <w:jc w:val="both"/>
        <w:rPr>
          <w:color w:val="000000" w:themeColor="text1"/>
          <w:lang w:val="en-GB"/>
        </w:rPr>
      </w:pPr>
      <w:r w:rsidRPr="00301B0F">
        <w:rPr>
          <w:color w:val="000000" w:themeColor="text1"/>
          <w:lang w:val="en-GB"/>
        </w:rPr>
        <w:t>the words “Law No 548-XIII of 21 July 1995” shall be replaced by the words “Law No 548/1995” and the words “and completions” shall be excluded</w:t>
      </w:r>
      <w:r w:rsidR="00275B40" w:rsidRPr="00301B0F">
        <w:rPr>
          <w:color w:val="000000" w:themeColor="text1"/>
          <w:lang w:val="en-GB"/>
        </w:rPr>
        <w:t>;</w:t>
      </w:r>
    </w:p>
    <w:p w14:paraId="276CCD2C" w14:textId="0EE4F754" w:rsidR="005A2ADB" w:rsidRPr="00301B0F" w:rsidRDefault="00F34057" w:rsidP="00DE34A8">
      <w:pPr>
        <w:pStyle w:val="ListParagraph"/>
        <w:numPr>
          <w:ilvl w:val="2"/>
          <w:numId w:val="27"/>
        </w:numPr>
        <w:tabs>
          <w:tab w:val="left" w:pos="567"/>
        </w:tabs>
        <w:spacing w:before="80"/>
        <w:ind w:left="0" w:firstLine="567"/>
        <w:jc w:val="both"/>
        <w:rPr>
          <w:color w:val="000000" w:themeColor="text1"/>
          <w:lang w:val="en-GB"/>
        </w:rPr>
      </w:pPr>
      <w:r w:rsidRPr="00301B0F">
        <w:rPr>
          <w:color w:val="000000" w:themeColor="text1"/>
          <w:lang w:val="en-GB"/>
        </w:rPr>
        <w:t>the words “Law No 202 of 6 October 2017” shall be replaced by the words “Law No 202/2017” and the words “and completions” shall be excluded</w:t>
      </w:r>
      <w:r w:rsidR="005C6B87" w:rsidRPr="00301B0F">
        <w:rPr>
          <w:color w:val="000000" w:themeColor="text1"/>
          <w:lang w:val="en-GB"/>
        </w:rPr>
        <w:t>.</w:t>
      </w:r>
    </w:p>
    <w:p w14:paraId="4F32DB46" w14:textId="2B39D5AF" w:rsidR="00DA2B2E" w:rsidRPr="00301B0F" w:rsidRDefault="00F34057" w:rsidP="00F9793E">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The harmonisation clause shall read as follows:</w:t>
      </w:r>
    </w:p>
    <w:p w14:paraId="6E973687" w14:textId="636E8192" w:rsidR="00F9793E" w:rsidRPr="00301B0F" w:rsidRDefault="00F34057" w:rsidP="00E30DC8">
      <w:pPr>
        <w:tabs>
          <w:tab w:val="left" w:pos="567"/>
        </w:tabs>
        <w:jc w:val="both"/>
        <w:rPr>
          <w:color w:val="000000" w:themeColor="text1"/>
          <w:lang w:val="en-GB"/>
        </w:rPr>
      </w:pPr>
      <w:r w:rsidRPr="00301B0F">
        <w:rPr>
          <w:color w:val="000000" w:themeColor="text1"/>
          <w:lang w:val="en-GB"/>
        </w:rPr>
        <w:t>“</w:t>
      </w:r>
      <w:bookmarkStart w:id="2" w:name="_Hlk234333923"/>
      <w:r w:rsidRPr="00301B0F">
        <w:rPr>
          <w:color w:val="000000" w:themeColor="text1"/>
          <w:lang w:val="en-GB"/>
        </w:rPr>
        <w:t>This Regulation transposes Article 4(1), points 57-60a, 74a, 82, 83, 111; Articles 192-207 and 209-239 of Regulation (EU) No 575/2013 of the European Parliament and of the Council of 26 June 2013 on prudential requirements for credit institutions and amending Regulation (EU) No 648/2012, CELEX: 32013R0575, published in the Official Journal of the European Union 176 of 27 June 2013, as last amended by Regulation (EU) 2025/1215 of the European Parliament and of the Council of 17 June 2025</w:t>
      </w:r>
      <w:bookmarkEnd w:id="2"/>
      <w:r w:rsidRPr="00301B0F">
        <w:rPr>
          <w:color w:val="000000" w:themeColor="text1"/>
          <w:lang w:val="en-GB"/>
        </w:rPr>
        <w:t>.</w:t>
      </w:r>
      <w:r w:rsidR="00AC6F4E" w:rsidRPr="00301B0F">
        <w:rPr>
          <w:color w:val="000000" w:themeColor="text1"/>
          <w:lang w:val="en-GB"/>
        </w:rPr>
        <w:t>”</w:t>
      </w:r>
      <w:r w:rsidR="005C6B87" w:rsidRPr="00301B0F">
        <w:rPr>
          <w:color w:val="000000" w:themeColor="text1"/>
          <w:lang w:val="en-GB"/>
        </w:rPr>
        <w:t>.</w:t>
      </w:r>
    </w:p>
    <w:p w14:paraId="3E3ABEB6" w14:textId="4E9D7553" w:rsidR="00C57CEE" w:rsidRPr="00301B0F" w:rsidRDefault="00731725" w:rsidP="00313633">
      <w:pPr>
        <w:pStyle w:val="ListParagraph"/>
        <w:numPr>
          <w:ilvl w:val="1"/>
          <w:numId w:val="27"/>
        </w:numPr>
        <w:tabs>
          <w:tab w:val="left" w:pos="567"/>
        </w:tabs>
        <w:spacing w:before="80"/>
        <w:ind w:left="0" w:firstLine="567"/>
        <w:jc w:val="both"/>
        <w:rPr>
          <w:color w:val="000000" w:themeColor="text1"/>
          <w:lang w:val="en-GB"/>
        </w:rPr>
      </w:pPr>
      <w:r w:rsidRPr="00301B0F">
        <w:rPr>
          <w:color w:val="000000" w:themeColor="text1"/>
          <w:lang w:val="en-GB"/>
        </w:rPr>
        <w:t xml:space="preserve">In </w:t>
      </w:r>
      <w:r w:rsidR="008238F3" w:rsidRPr="00301B0F">
        <w:rPr>
          <w:color w:val="000000" w:themeColor="text1"/>
          <w:lang w:val="en-GB"/>
        </w:rPr>
        <w:t>paragraph</w:t>
      </w:r>
      <w:r w:rsidRPr="00301B0F">
        <w:rPr>
          <w:color w:val="000000" w:themeColor="text1"/>
          <w:lang w:val="en-GB"/>
        </w:rPr>
        <w:t xml:space="preserve"> 3</w:t>
      </w:r>
      <w:r w:rsidR="00C57CEE" w:rsidRPr="00301B0F">
        <w:rPr>
          <w:color w:val="000000" w:themeColor="text1"/>
          <w:lang w:val="en-GB"/>
        </w:rPr>
        <w:t>:</w:t>
      </w:r>
    </w:p>
    <w:p w14:paraId="7B7C42DA" w14:textId="16670177" w:rsidR="00C57CEE" w:rsidRPr="00301B0F" w:rsidRDefault="00F7701D" w:rsidP="00C57CEE">
      <w:pPr>
        <w:pStyle w:val="ListParagraph"/>
        <w:numPr>
          <w:ilvl w:val="2"/>
          <w:numId w:val="27"/>
        </w:numPr>
        <w:tabs>
          <w:tab w:val="left" w:pos="567"/>
        </w:tabs>
        <w:spacing w:before="80"/>
        <w:ind w:left="0" w:firstLine="567"/>
        <w:jc w:val="both"/>
        <w:rPr>
          <w:color w:val="000000" w:themeColor="text1"/>
          <w:lang w:val="en-GB"/>
        </w:rPr>
      </w:pPr>
      <w:r w:rsidRPr="00301B0F">
        <w:rPr>
          <w:color w:val="000000" w:themeColor="text1"/>
          <w:lang w:val="en-GB"/>
        </w:rPr>
        <w:lastRenderedPageBreak/>
        <w:t>the text "Law No</w:t>
      </w:r>
      <w:r w:rsidR="002D1CBB" w:rsidRPr="00301B0F">
        <w:rPr>
          <w:color w:val="000000" w:themeColor="text1"/>
          <w:lang w:val="en-GB"/>
        </w:rPr>
        <w:t xml:space="preserve"> </w:t>
      </w:r>
      <w:r w:rsidRPr="00301B0F">
        <w:rPr>
          <w:color w:val="000000" w:themeColor="text1"/>
          <w:lang w:val="en-GB"/>
        </w:rPr>
        <w:t xml:space="preserve">202 of 6 October 2017 on the activity of banks (Official </w:t>
      </w:r>
      <w:r w:rsidR="008229BB" w:rsidRPr="00301B0F">
        <w:rPr>
          <w:color w:val="000000" w:themeColor="text1"/>
          <w:lang w:val="en-GB"/>
        </w:rPr>
        <w:t>Gazette</w:t>
      </w:r>
      <w:r w:rsidRPr="00301B0F">
        <w:rPr>
          <w:color w:val="000000" w:themeColor="text1"/>
          <w:lang w:val="en-GB"/>
        </w:rPr>
        <w:t xml:space="preserve"> of the Republic of Moldova, 2017, No</w:t>
      </w:r>
      <w:r w:rsidR="008229BB" w:rsidRPr="00301B0F">
        <w:rPr>
          <w:color w:val="000000" w:themeColor="text1"/>
          <w:lang w:val="en-GB"/>
        </w:rPr>
        <w:t xml:space="preserve"> </w:t>
      </w:r>
      <w:r w:rsidRPr="00301B0F">
        <w:rPr>
          <w:color w:val="000000" w:themeColor="text1"/>
          <w:lang w:val="en-GB"/>
        </w:rPr>
        <w:t>434-439, Art</w:t>
      </w:r>
      <w:r w:rsidR="008229BB" w:rsidRPr="00301B0F">
        <w:rPr>
          <w:color w:val="000000" w:themeColor="text1"/>
          <w:lang w:val="en-GB"/>
        </w:rPr>
        <w:t xml:space="preserve">icle </w:t>
      </w:r>
      <w:r w:rsidRPr="00301B0F">
        <w:rPr>
          <w:color w:val="000000" w:themeColor="text1"/>
          <w:lang w:val="en-GB"/>
        </w:rPr>
        <w:t>727)" shall be replaced by the text "</w:t>
      </w:r>
      <w:bookmarkStart w:id="3" w:name="_Hlk234388447"/>
      <w:r w:rsidRPr="00301B0F">
        <w:rPr>
          <w:color w:val="000000" w:themeColor="text1"/>
          <w:lang w:val="en-GB"/>
        </w:rPr>
        <w:t>Law No</w:t>
      </w:r>
      <w:r w:rsidR="008229BB" w:rsidRPr="00301B0F">
        <w:rPr>
          <w:color w:val="000000" w:themeColor="text1"/>
          <w:lang w:val="en-GB"/>
        </w:rPr>
        <w:t xml:space="preserve"> </w:t>
      </w:r>
      <w:r w:rsidRPr="00301B0F">
        <w:rPr>
          <w:color w:val="000000" w:themeColor="text1"/>
          <w:lang w:val="en-GB"/>
        </w:rPr>
        <w:t>202/2017 on the activity of banks (further - Law No</w:t>
      </w:r>
      <w:r w:rsidR="008229BB" w:rsidRPr="00301B0F">
        <w:rPr>
          <w:color w:val="000000" w:themeColor="text1"/>
          <w:lang w:val="en-GB"/>
        </w:rPr>
        <w:t xml:space="preserve"> </w:t>
      </w:r>
      <w:r w:rsidRPr="00301B0F">
        <w:rPr>
          <w:color w:val="000000" w:themeColor="text1"/>
          <w:lang w:val="en-GB"/>
        </w:rPr>
        <w:t>202/2017</w:t>
      </w:r>
      <w:bookmarkEnd w:id="3"/>
      <w:r w:rsidR="00C57CEE" w:rsidRPr="00301B0F">
        <w:rPr>
          <w:color w:val="000000" w:themeColor="text1"/>
          <w:lang w:val="en-GB"/>
        </w:rPr>
        <w:t>);</w:t>
      </w:r>
    </w:p>
    <w:p w14:paraId="4295F1D0" w14:textId="243C6C58" w:rsidR="00974E10" w:rsidRPr="00301B0F" w:rsidRDefault="00313633" w:rsidP="00C57CEE">
      <w:pPr>
        <w:pStyle w:val="ListParagraph"/>
        <w:numPr>
          <w:ilvl w:val="2"/>
          <w:numId w:val="27"/>
        </w:numPr>
        <w:tabs>
          <w:tab w:val="left" w:pos="426"/>
        </w:tabs>
        <w:spacing w:before="80"/>
        <w:ind w:left="0" w:firstLine="567"/>
        <w:jc w:val="both"/>
        <w:rPr>
          <w:color w:val="000000" w:themeColor="text1"/>
          <w:lang w:val="en-GB"/>
        </w:rPr>
      </w:pPr>
      <w:r w:rsidRPr="00301B0F">
        <w:rPr>
          <w:color w:val="000000" w:themeColor="text1"/>
          <w:lang w:val="en-GB"/>
        </w:rPr>
        <w:t xml:space="preserve"> </w:t>
      </w:r>
      <w:r w:rsidR="00AE239A" w:rsidRPr="00301B0F">
        <w:rPr>
          <w:color w:val="000000" w:themeColor="text1"/>
          <w:lang w:val="en-GB"/>
        </w:rPr>
        <w:t>in alphabetical order, the notions “substitution of risk parameters approach under the Advanced Internal Ratings Based Approach (A-IRB)”, “gold bullion”, “exposure secured by residential property”, “exposure secured by commercial immovable property”, “exposure secured by immovable property”, “property</w:t>
      </w:r>
      <w:r w:rsidR="002D1CBB" w:rsidRPr="00301B0F">
        <w:rPr>
          <w:color w:val="000000" w:themeColor="text1"/>
          <w:lang w:val="en-GB"/>
        </w:rPr>
        <w:t xml:space="preserve"> value</w:t>
      </w:r>
      <w:r w:rsidR="00AE239A" w:rsidRPr="00301B0F">
        <w:rPr>
          <w:color w:val="000000" w:themeColor="text1"/>
          <w:lang w:val="en-GB"/>
        </w:rPr>
        <w:t>” are added, reading as follows</w:t>
      </w:r>
      <w:r w:rsidR="00974E10" w:rsidRPr="00301B0F">
        <w:rPr>
          <w:color w:val="000000" w:themeColor="text1"/>
          <w:lang w:val="en-GB"/>
        </w:rPr>
        <w:t>:</w:t>
      </w:r>
    </w:p>
    <w:p w14:paraId="0566A8F4" w14:textId="28C9EF63" w:rsidR="00C01BE8" w:rsidRPr="00301B0F" w:rsidRDefault="002D1CBB" w:rsidP="00C57CEE">
      <w:pPr>
        <w:pStyle w:val="ListParagraph"/>
        <w:tabs>
          <w:tab w:val="left" w:pos="426"/>
        </w:tabs>
        <w:ind w:left="0"/>
        <w:jc w:val="both"/>
        <w:rPr>
          <w:color w:val="000000" w:themeColor="text1"/>
          <w:lang w:val="en-GB" w:eastAsia="ro-MD"/>
        </w:rPr>
      </w:pPr>
      <w:r w:rsidRPr="00301B0F">
        <w:rPr>
          <w:color w:val="000000" w:themeColor="text1"/>
          <w:lang w:val="en-GB"/>
        </w:rPr>
        <w:t>“</w:t>
      </w:r>
      <w:r w:rsidRPr="00301B0F">
        <w:rPr>
          <w:i/>
          <w:iCs/>
          <w:color w:val="000000" w:themeColor="text1"/>
          <w:lang w:val="en-GB" w:eastAsia="ro-MD"/>
        </w:rPr>
        <w:t xml:space="preserve">substitution of risk parameters under the Advanced Internal Ratings Based Approach (A-IRB)” - </w:t>
      </w:r>
      <w:r w:rsidRPr="00301B0F">
        <w:rPr>
          <w:color w:val="000000" w:themeColor="text1"/>
          <w:lang w:val="en-GB" w:eastAsia="ro-MD"/>
        </w:rPr>
        <w:t xml:space="preserve">substitution, in accordance with </w:t>
      </w:r>
      <w:r w:rsidR="008238F3" w:rsidRPr="00301B0F">
        <w:rPr>
          <w:color w:val="000000" w:themeColor="text1"/>
          <w:lang w:val="en-GB" w:eastAsia="ro-MD"/>
        </w:rPr>
        <w:t>paragraphs</w:t>
      </w:r>
      <w:r w:rsidRPr="00301B0F">
        <w:rPr>
          <w:color w:val="000000" w:themeColor="text1"/>
          <w:lang w:val="en-GB" w:eastAsia="ro-MD"/>
        </w:rPr>
        <w:t xml:space="preserve"> 116</w:t>
      </w:r>
      <w:r w:rsidRPr="00301B0F">
        <w:rPr>
          <w:color w:val="000000" w:themeColor="text1"/>
          <w:vertAlign w:val="superscript"/>
          <w:lang w:val="en-GB" w:eastAsia="ro-MD"/>
        </w:rPr>
        <w:t>13</w:t>
      </w:r>
      <w:r w:rsidRPr="00301B0F">
        <w:rPr>
          <w:color w:val="000000" w:themeColor="text1"/>
          <w:lang w:val="en-GB" w:eastAsia="ro-MD"/>
        </w:rPr>
        <w:t>-116</w:t>
      </w:r>
      <w:r w:rsidRPr="00301B0F">
        <w:rPr>
          <w:color w:val="000000" w:themeColor="text1"/>
          <w:vertAlign w:val="superscript"/>
          <w:lang w:val="en-GB" w:eastAsia="ro-MD"/>
        </w:rPr>
        <w:t>17</w:t>
      </w:r>
      <w:r w:rsidRPr="00301B0F">
        <w:rPr>
          <w:color w:val="000000" w:themeColor="text1"/>
          <w:lang w:val="en-GB" w:eastAsia="ro-MD"/>
        </w:rPr>
        <w:t>, of the risk parameters PD and LGD of the underlying exposure with the corresponding PD and LGD that would be assigned under the Internal Ratings Based Approach (hereinafter the IRB Approach), using own estimates of LGD, to a comparable direct exposure to the protection provider</w:t>
      </w:r>
      <w:r w:rsidR="000100B5" w:rsidRPr="00301B0F">
        <w:rPr>
          <w:color w:val="000000" w:themeColor="text1"/>
          <w:lang w:val="en-GB" w:eastAsia="ro-MD"/>
        </w:rPr>
        <w:t>;</w:t>
      </w:r>
    </w:p>
    <w:p w14:paraId="0DED981B" w14:textId="738C0E55" w:rsidR="004A0DD9" w:rsidRPr="00301B0F" w:rsidRDefault="00841DBC" w:rsidP="00C57CEE">
      <w:pPr>
        <w:pStyle w:val="ListParagraph"/>
        <w:tabs>
          <w:tab w:val="left" w:pos="426"/>
        </w:tabs>
        <w:ind w:left="0"/>
        <w:jc w:val="both"/>
        <w:rPr>
          <w:color w:val="000000" w:themeColor="text1"/>
          <w:lang w:val="en-GB" w:eastAsia="ro-MD"/>
        </w:rPr>
      </w:pPr>
      <w:r w:rsidRPr="00301B0F">
        <w:rPr>
          <w:i/>
          <w:iCs/>
          <w:color w:val="000000" w:themeColor="text1"/>
          <w:lang w:val="en-GB" w:eastAsia="ro-MD"/>
        </w:rPr>
        <w:t>“gold bullion”</w:t>
      </w:r>
      <w:r w:rsidR="002D1CBB" w:rsidRPr="00301B0F">
        <w:rPr>
          <w:i/>
          <w:iCs/>
          <w:color w:val="000000" w:themeColor="text1"/>
          <w:lang w:val="en-GB" w:eastAsia="ro-MD"/>
        </w:rPr>
        <w:t xml:space="preserve"> - </w:t>
      </w:r>
      <w:r w:rsidRPr="00301B0F">
        <w:rPr>
          <w:color w:val="000000" w:themeColor="text1"/>
          <w:lang w:val="en-GB" w:eastAsia="ro-MD"/>
        </w:rPr>
        <w:t>gold in the form of a commodity, including gold bars, ingots and coins, commonly accepted by the bullion market, where liquid markets for bullion exist, and the value of which is determined by the value of the gold content, defined by purity and mass, rather than by its interest to numismatists</w:t>
      </w:r>
      <w:r w:rsidR="004A0DD9" w:rsidRPr="00301B0F">
        <w:rPr>
          <w:color w:val="000000" w:themeColor="text1"/>
          <w:lang w:val="en-GB" w:eastAsia="ro-MD"/>
        </w:rPr>
        <w:t>;</w:t>
      </w:r>
    </w:p>
    <w:p w14:paraId="725D0A82" w14:textId="70D563A7" w:rsidR="00DA1DE5" w:rsidRPr="00301B0F" w:rsidRDefault="00D7591C" w:rsidP="006D4DE6">
      <w:pPr>
        <w:pStyle w:val="ListParagraph"/>
        <w:tabs>
          <w:tab w:val="left" w:pos="0"/>
        </w:tabs>
        <w:ind w:left="0"/>
        <w:contextualSpacing w:val="0"/>
        <w:jc w:val="both"/>
        <w:rPr>
          <w:color w:val="000000" w:themeColor="text1"/>
          <w:lang w:val="en-GB" w:eastAsia="ro-MD"/>
        </w:rPr>
      </w:pPr>
      <w:r w:rsidRPr="00301B0F">
        <w:rPr>
          <w:i/>
          <w:iCs/>
          <w:color w:val="000000" w:themeColor="text1"/>
          <w:lang w:val="en-GB" w:eastAsia="ro-MD"/>
        </w:rPr>
        <w:t>“</w:t>
      </w:r>
      <w:proofErr w:type="gramStart"/>
      <w:r w:rsidRPr="00301B0F">
        <w:rPr>
          <w:i/>
          <w:iCs/>
          <w:color w:val="000000" w:themeColor="text1"/>
          <w:lang w:val="en-GB" w:eastAsia="ro-MD"/>
        </w:rPr>
        <w:t>exposure</w:t>
      </w:r>
      <w:proofErr w:type="gramEnd"/>
      <w:r w:rsidRPr="00301B0F">
        <w:rPr>
          <w:i/>
          <w:iCs/>
          <w:color w:val="000000" w:themeColor="text1"/>
          <w:lang w:val="en-GB" w:eastAsia="ro-MD"/>
        </w:rPr>
        <w:t xml:space="preserve"> secured by immovable property” or “exposure secured by a mortgage on immovable property”, or “exposure secured by immovable property collateral”</w:t>
      </w:r>
      <w:r w:rsidR="00DA1DE5" w:rsidRPr="00301B0F">
        <w:rPr>
          <w:color w:val="000000" w:themeColor="text1"/>
          <w:lang w:val="en-GB" w:eastAsia="ro-MD"/>
        </w:rPr>
        <w:t xml:space="preserve"> – </w:t>
      </w:r>
      <w:r w:rsidRPr="00301B0F">
        <w:rPr>
          <w:color w:val="000000" w:themeColor="text1"/>
          <w:lang w:val="en-GB" w:eastAsia="ro-MD"/>
        </w:rPr>
        <w:t>an exposure secured by a residential property or commercial immovable property</w:t>
      </w:r>
      <w:r w:rsidR="00DA1DE5" w:rsidRPr="00301B0F">
        <w:rPr>
          <w:color w:val="000000" w:themeColor="text1"/>
          <w:lang w:val="en-GB" w:eastAsia="ro-MD"/>
        </w:rPr>
        <w:t>;</w:t>
      </w:r>
    </w:p>
    <w:p w14:paraId="4FD712B1" w14:textId="1A984712" w:rsidR="00DA1DE5" w:rsidRPr="00301B0F" w:rsidRDefault="00D7591C" w:rsidP="006D4DE6">
      <w:pPr>
        <w:pStyle w:val="ListParagraph"/>
        <w:tabs>
          <w:tab w:val="left" w:pos="0"/>
        </w:tabs>
        <w:ind w:left="0"/>
        <w:contextualSpacing w:val="0"/>
        <w:jc w:val="both"/>
        <w:rPr>
          <w:color w:val="000000" w:themeColor="text1"/>
          <w:lang w:val="en-GB" w:eastAsia="ro-MD"/>
        </w:rPr>
      </w:pPr>
      <w:r w:rsidRPr="00301B0F">
        <w:rPr>
          <w:color w:val="000000" w:themeColor="text1"/>
          <w:lang w:val="en-GB" w:eastAsia="ro-MD"/>
        </w:rPr>
        <w:t>“</w:t>
      </w:r>
      <w:proofErr w:type="gramStart"/>
      <w:r w:rsidRPr="00301B0F">
        <w:rPr>
          <w:i/>
          <w:iCs/>
          <w:color w:val="000000" w:themeColor="text1"/>
          <w:lang w:val="en-GB" w:eastAsia="ro-MD"/>
        </w:rPr>
        <w:t>exposure</w:t>
      </w:r>
      <w:proofErr w:type="gramEnd"/>
      <w:r w:rsidRPr="00301B0F">
        <w:rPr>
          <w:i/>
          <w:iCs/>
          <w:color w:val="000000" w:themeColor="text1"/>
          <w:lang w:val="en-GB" w:eastAsia="ro-MD"/>
        </w:rPr>
        <w:t xml:space="preserve"> secured by commercial immovable property” or “exposure secured by a mortgage on commercial immovable property”</w:t>
      </w:r>
      <w:r w:rsidR="00DA1DE5" w:rsidRPr="00301B0F">
        <w:rPr>
          <w:color w:val="000000" w:themeColor="text1"/>
          <w:lang w:val="en-GB" w:eastAsia="ro-MD"/>
        </w:rPr>
        <w:t xml:space="preserve"> – </w:t>
      </w:r>
      <w:r w:rsidRPr="00301B0F">
        <w:rPr>
          <w:color w:val="000000" w:themeColor="text1"/>
          <w:lang w:val="en-GB" w:eastAsia="ro-MD"/>
        </w:rPr>
        <w:t>an exposure secured by a commercial immovable property</w:t>
      </w:r>
      <w:r w:rsidR="00DA1DE5" w:rsidRPr="00301B0F">
        <w:rPr>
          <w:color w:val="000000" w:themeColor="text1"/>
          <w:lang w:val="en-GB" w:eastAsia="ro-MD"/>
        </w:rPr>
        <w:t>;</w:t>
      </w:r>
    </w:p>
    <w:p w14:paraId="2A4E741F" w14:textId="0BC26832" w:rsidR="00DA1DE5" w:rsidRPr="00301B0F" w:rsidRDefault="00D7591C" w:rsidP="006D4DE6">
      <w:pPr>
        <w:pStyle w:val="ListParagraph"/>
        <w:tabs>
          <w:tab w:val="left" w:pos="0"/>
        </w:tabs>
        <w:ind w:left="0"/>
        <w:contextualSpacing w:val="0"/>
        <w:jc w:val="both"/>
        <w:rPr>
          <w:color w:val="000000" w:themeColor="text1"/>
          <w:lang w:val="en-GB" w:eastAsia="ro-MD"/>
        </w:rPr>
      </w:pPr>
      <w:r w:rsidRPr="00301B0F">
        <w:rPr>
          <w:color w:val="000000" w:themeColor="text1"/>
          <w:lang w:val="en-GB" w:eastAsia="ro-MD"/>
        </w:rPr>
        <w:t>“</w:t>
      </w:r>
      <w:proofErr w:type="gramStart"/>
      <w:r w:rsidRPr="00301B0F">
        <w:rPr>
          <w:i/>
          <w:iCs/>
          <w:color w:val="000000" w:themeColor="text1"/>
          <w:lang w:val="en-GB" w:eastAsia="ro-MD"/>
        </w:rPr>
        <w:t>exposure</w:t>
      </w:r>
      <w:proofErr w:type="gramEnd"/>
      <w:r w:rsidRPr="00301B0F">
        <w:rPr>
          <w:i/>
          <w:iCs/>
          <w:color w:val="000000" w:themeColor="text1"/>
          <w:lang w:val="en-GB" w:eastAsia="ro-MD"/>
        </w:rPr>
        <w:t xml:space="preserve"> secured by residential property” or “exposure secured by a mortgage on residential property</w:t>
      </w:r>
      <w:r w:rsidR="00DA1DE5" w:rsidRPr="00301B0F">
        <w:rPr>
          <w:color w:val="000000" w:themeColor="text1"/>
          <w:lang w:val="en-GB" w:eastAsia="ro-MD"/>
        </w:rPr>
        <w:t xml:space="preserve">” – </w:t>
      </w:r>
      <w:r w:rsidRPr="00301B0F">
        <w:rPr>
          <w:color w:val="000000" w:themeColor="text1"/>
          <w:lang w:val="en-GB" w:eastAsia="ro-MD"/>
        </w:rPr>
        <w:t>an exposure secured by residential property</w:t>
      </w:r>
      <w:r w:rsidR="00DA1DE5" w:rsidRPr="00301B0F">
        <w:rPr>
          <w:color w:val="000000" w:themeColor="text1"/>
          <w:lang w:val="en-GB" w:eastAsia="ro-MD"/>
        </w:rPr>
        <w:t>;</w:t>
      </w:r>
    </w:p>
    <w:p w14:paraId="453705D0" w14:textId="5F6AA699" w:rsidR="00C27C1F" w:rsidRPr="00301B0F" w:rsidRDefault="00D7591C" w:rsidP="006D4DE6">
      <w:pPr>
        <w:pStyle w:val="ListParagraph"/>
        <w:tabs>
          <w:tab w:val="left" w:pos="0"/>
        </w:tabs>
        <w:ind w:left="0"/>
        <w:contextualSpacing w:val="0"/>
        <w:jc w:val="both"/>
        <w:rPr>
          <w:color w:val="000000" w:themeColor="text1"/>
          <w:lang w:val="en-GB" w:eastAsia="ro-MD"/>
        </w:rPr>
      </w:pPr>
      <w:r w:rsidRPr="00301B0F">
        <w:rPr>
          <w:i/>
          <w:iCs/>
          <w:color w:val="000000" w:themeColor="text1"/>
          <w:lang w:val="en-GB" w:eastAsia="ro-MD"/>
        </w:rPr>
        <w:t>“</w:t>
      </w:r>
      <w:proofErr w:type="gramStart"/>
      <w:r w:rsidRPr="00301B0F">
        <w:rPr>
          <w:i/>
          <w:iCs/>
          <w:color w:val="000000" w:themeColor="text1"/>
          <w:lang w:val="en-GB" w:eastAsia="ro-MD"/>
        </w:rPr>
        <w:t>property</w:t>
      </w:r>
      <w:proofErr w:type="gramEnd"/>
      <w:r w:rsidRPr="00301B0F">
        <w:rPr>
          <w:i/>
          <w:iCs/>
          <w:color w:val="000000" w:themeColor="text1"/>
          <w:lang w:val="en-GB" w:eastAsia="ro-MD"/>
        </w:rPr>
        <w:t xml:space="preserve"> value” </w:t>
      </w:r>
      <w:r w:rsidR="00C01BE8" w:rsidRPr="00301B0F">
        <w:rPr>
          <w:color w:val="000000" w:themeColor="text1"/>
          <w:lang w:val="en-GB" w:eastAsia="ro-MD"/>
        </w:rPr>
        <w:t xml:space="preserve">- </w:t>
      </w:r>
      <w:r w:rsidRPr="00301B0F">
        <w:rPr>
          <w:color w:val="000000" w:themeColor="text1"/>
          <w:lang w:val="en-GB" w:eastAsia="ro-MD"/>
        </w:rPr>
        <w:t>the value of a residential property or commercial immovable property determined in accordance with p</w:t>
      </w:r>
      <w:r w:rsidR="00F21922" w:rsidRPr="00301B0F">
        <w:rPr>
          <w:color w:val="000000" w:themeColor="text1"/>
          <w:lang w:val="en-GB" w:eastAsia="ro-MD"/>
        </w:rPr>
        <w:t>aragraphs</w:t>
      </w:r>
      <w:r w:rsidR="00C01BE8" w:rsidRPr="00301B0F">
        <w:rPr>
          <w:color w:val="000000" w:themeColor="text1"/>
          <w:lang w:val="en-GB" w:eastAsia="ro-MD"/>
        </w:rPr>
        <w:t xml:space="preserve"> 107</w:t>
      </w:r>
      <w:r w:rsidR="00C01BE8" w:rsidRPr="00301B0F">
        <w:rPr>
          <w:color w:val="000000" w:themeColor="text1"/>
          <w:vertAlign w:val="superscript"/>
          <w:lang w:val="en-GB" w:eastAsia="ro-MD"/>
        </w:rPr>
        <w:t>1</w:t>
      </w:r>
      <w:r w:rsidR="00C01BE8" w:rsidRPr="00301B0F">
        <w:rPr>
          <w:color w:val="000000" w:themeColor="text1"/>
          <w:lang w:val="en-GB" w:eastAsia="ro-MD"/>
        </w:rPr>
        <w:t>-107</w:t>
      </w:r>
      <w:r w:rsidR="00C01BE8" w:rsidRPr="00301B0F">
        <w:rPr>
          <w:color w:val="000000" w:themeColor="text1"/>
          <w:vertAlign w:val="superscript"/>
          <w:lang w:val="en-GB" w:eastAsia="ro-MD"/>
        </w:rPr>
        <w:t>3</w:t>
      </w:r>
      <w:r w:rsidR="00313633" w:rsidRPr="00301B0F">
        <w:rPr>
          <w:color w:val="000000" w:themeColor="text1"/>
          <w:lang w:val="en-GB" w:eastAsia="ro-MD"/>
        </w:rPr>
        <w:t>.</w:t>
      </w:r>
      <w:r w:rsidR="00C01BE8" w:rsidRPr="00301B0F">
        <w:rPr>
          <w:color w:val="000000" w:themeColor="text1"/>
          <w:lang w:val="en-GB" w:eastAsia="ro-MD"/>
        </w:rPr>
        <w:t>”</w:t>
      </w:r>
      <w:r w:rsidR="00C27C1F" w:rsidRPr="00301B0F">
        <w:rPr>
          <w:color w:val="000000" w:themeColor="text1"/>
          <w:lang w:val="en-GB" w:eastAsia="ro-MD"/>
        </w:rPr>
        <w:t>;</w:t>
      </w:r>
    </w:p>
    <w:p w14:paraId="4788A398" w14:textId="6991BC77" w:rsidR="00D90138" w:rsidRPr="00301B0F" w:rsidRDefault="00D7591C" w:rsidP="005651CC">
      <w:pPr>
        <w:pStyle w:val="ListParagraph"/>
        <w:numPr>
          <w:ilvl w:val="2"/>
          <w:numId w:val="27"/>
        </w:numPr>
        <w:tabs>
          <w:tab w:val="left" w:pos="0"/>
        </w:tabs>
        <w:ind w:left="0" w:firstLine="567"/>
        <w:contextualSpacing w:val="0"/>
        <w:jc w:val="both"/>
        <w:rPr>
          <w:color w:val="000000" w:themeColor="text1"/>
          <w:lang w:val="en-GB"/>
        </w:rPr>
      </w:pPr>
      <w:r w:rsidRPr="00301B0F">
        <w:rPr>
          <w:color w:val="000000" w:themeColor="text1"/>
          <w:lang w:val="en-GB" w:eastAsia="ro-MD"/>
        </w:rPr>
        <w:t>the terms “margin lending transactions”, “margin agreement” and “margin threshold” shall be excluded</w:t>
      </w:r>
      <w:r w:rsidR="00C01BE8" w:rsidRPr="00301B0F">
        <w:rPr>
          <w:color w:val="000000" w:themeColor="text1"/>
          <w:lang w:val="en-GB" w:eastAsia="ro-MD"/>
        </w:rPr>
        <w:t>.</w:t>
      </w:r>
    </w:p>
    <w:p w14:paraId="3A0ABBF5" w14:textId="54B0B537" w:rsidR="00827160" w:rsidRPr="00301B0F" w:rsidRDefault="00F21922"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 4 shall read as follows</w:t>
      </w:r>
      <w:r w:rsidR="00827160" w:rsidRPr="00301B0F">
        <w:rPr>
          <w:color w:val="000000" w:themeColor="text1"/>
          <w:lang w:val="en-GB"/>
        </w:rPr>
        <w:t>:</w:t>
      </w:r>
    </w:p>
    <w:p w14:paraId="332FD3C8" w14:textId="7D454EA6" w:rsidR="003D2278" w:rsidRPr="00301B0F" w:rsidRDefault="00F21922" w:rsidP="00827160">
      <w:pPr>
        <w:tabs>
          <w:tab w:val="left" w:pos="567"/>
        </w:tabs>
        <w:spacing w:before="80"/>
        <w:jc w:val="both"/>
        <w:rPr>
          <w:color w:val="000000" w:themeColor="text1"/>
          <w:lang w:val="en-GB"/>
        </w:rPr>
      </w:pPr>
      <w:r w:rsidRPr="00301B0F">
        <w:rPr>
          <w:color w:val="000000" w:themeColor="text1"/>
          <w:lang w:val="en-GB"/>
        </w:rPr>
        <w:t>“</w:t>
      </w:r>
      <w:r w:rsidRPr="00301B0F">
        <w:rPr>
          <w:color w:val="000000" w:themeColor="text1"/>
          <w:lang w:val="en-GB" w:eastAsia="ro-MD"/>
        </w:rPr>
        <w:t xml:space="preserve">In the case of an exposure for which a bank applies the standardised approach under the Regulation on the treatment of banks’ credit risk using standardised approach, approved by the Decision of the Executive Board of the National Bank of Moldova No 111/2018 (hereinafter - Regulation No 111/2018) or the IRB approach under the normative act of the National Bank of Moldova related to the treatment of credit risk </w:t>
      </w:r>
      <w:r w:rsidR="00C83D3C">
        <w:rPr>
          <w:color w:val="000000" w:themeColor="text1"/>
          <w:lang w:val="en-GB" w:eastAsia="ro-MD"/>
        </w:rPr>
        <w:t>under</w:t>
      </w:r>
      <w:r w:rsidRPr="00301B0F">
        <w:rPr>
          <w:color w:val="000000" w:themeColor="text1"/>
          <w:lang w:val="en-GB" w:eastAsia="ro-MD"/>
        </w:rPr>
        <w:t xml:space="preserve"> the Internal Ratings Based Approach, without, however, using its own estimates of LGD, the bank may resort to credit risk mitigation in accordance with this Regulation when calculating risk-weighted exposure amounts within the meaning of points (1) and (7) of paragraph 132 of the Regulation on Own Funds of Banks and Capital Requirements, approved by the Decision of the Executive Board of the National Bank of Moldova No 109/2018 (hereinafter - Regulation No 109/2018) and, as applicable, expected loss amounts for the purposes of paragraph 30(31) and paragraph 96(4) of that Regulation</w:t>
      </w:r>
      <w:r w:rsidR="00B752F8" w:rsidRPr="00301B0F">
        <w:rPr>
          <w:color w:val="000000" w:themeColor="text1"/>
          <w:lang w:val="en-GB" w:eastAsia="ro-MD"/>
        </w:rPr>
        <w:t>.</w:t>
      </w:r>
      <w:r w:rsidR="003D2278" w:rsidRPr="00301B0F">
        <w:rPr>
          <w:color w:val="000000" w:themeColor="text1"/>
          <w:lang w:val="en-GB"/>
        </w:rPr>
        <w:t>”.</w:t>
      </w:r>
    </w:p>
    <w:p w14:paraId="0E7C0A01" w14:textId="00C5C3CF" w:rsidR="0046367B" w:rsidRPr="00301B0F" w:rsidRDefault="008238F3" w:rsidP="0046367B">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Paragraphs</w:t>
      </w:r>
      <w:r w:rsidR="00E546D2" w:rsidRPr="00301B0F">
        <w:rPr>
          <w:color w:val="000000" w:themeColor="text1"/>
          <w:lang w:val="en-GB"/>
        </w:rPr>
        <w:t xml:space="preserve"> </w:t>
      </w:r>
      <w:r w:rsidR="0046367B" w:rsidRPr="00301B0F">
        <w:rPr>
          <w:color w:val="000000" w:themeColor="text1"/>
          <w:lang w:val="en-GB"/>
        </w:rPr>
        <w:t>4</w:t>
      </w:r>
      <w:r w:rsidR="0046367B" w:rsidRPr="00301B0F">
        <w:rPr>
          <w:color w:val="000000" w:themeColor="text1"/>
          <w:vertAlign w:val="superscript"/>
          <w:lang w:val="en-GB"/>
        </w:rPr>
        <w:t>1</w:t>
      </w:r>
      <w:r w:rsidR="0046367B" w:rsidRPr="00301B0F">
        <w:rPr>
          <w:color w:val="000000" w:themeColor="text1"/>
          <w:lang w:val="en-GB"/>
        </w:rPr>
        <w:t>-4</w:t>
      </w:r>
      <w:r w:rsidR="000D08F8" w:rsidRPr="00301B0F">
        <w:rPr>
          <w:color w:val="000000" w:themeColor="text1"/>
          <w:vertAlign w:val="superscript"/>
          <w:lang w:val="en-GB"/>
        </w:rPr>
        <w:t>2</w:t>
      </w:r>
      <w:r w:rsidR="0046367B" w:rsidRPr="00301B0F">
        <w:rPr>
          <w:color w:val="000000" w:themeColor="text1"/>
          <w:lang w:val="en-GB"/>
        </w:rPr>
        <w:t xml:space="preserve"> </w:t>
      </w:r>
      <w:r w:rsidR="00E546D2" w:rsidRPr="00301B0F">
        <w:rPr>
          <w:color w:val="000000" w:themeColor="text1"/>
          <w:lang w:val="en-GB"/>
        </w:rPr>
        <w:t>shall be added with the following content</w:t>
      </w:r>
      <w:r w:rsidR="0046367B" w:rsidRPr="00301B0F">
        <w:rPr>
          <w:color w:val="000000" w:themeColor="text1"/>
          <w:lang w:val="en-GB"/>
        </w:rPr>
        <w:t>:</w:t>
      </w:r>
    </w:p>
    <w:p w14:paraId="7CA269D5" w14:textId="7B5876E8" w:rsidR="0046367B" w:rsidRPr="00301B0F" w:rsidRDefault="008238F3" w:rsidP="0046367B">
      <w:pPr>
        <w:jc w:val="both"/>
        <w:rPr>
          <w:color w:val="000000" w:themeColor="text1"/>
          <w:lang w:val="en-GB" w:eastAsia="ro-MD"/>
        </w:rPr>
      </w:pPr>
      <w:bookmarkStart w:id="4" w:name="_Hlk227773707"/>
      <w:r w:rsidRPr="00301B0F">
        <w:rPr>
          <w:color w:val="000000" w:themeColor="text1"/>
          <w:lang w:val="en-GB"/>
        </w:rPr>
        <w:t>“</w:t>
      </w:r>
      <w:r w:rsidR="0046367B" w:rsidRPr="00301B0F">
        <w:rPr>
          <w:b/>
          <w:bCs/>
          <w:color w:val="000000" w:themeColor="text1"/>
          <w:lang w:val="en-GB" w:eastAsia="ro-MD"/>
        </w:rPr>
        <w:t>4</w:t>
      </w:r>
      <w:r w:rsidR="0046367B" w:rsidRPr="00301B0F">
        <w:rPr>
          <w:b/>
          <w:bCs/>
          <w:color w:val="000000" w:themeColor="text1"/>
          <w:vertAlign w:val="superscript"/>
          <w:lang w:val="en-GB" w:eastAsia="ro-MD"/>
        </w:rPr>
        <w:t>1</w:t>
      </w:r>
      <w:r w:rsidR="0046367B" w:rsidRPr="00301B0F">
        <w:rPr>
          <w:b/>
          <w:bCs/>
          <w:color w:val="000000" w:themeColor="text1"/>
          <w:lang w:val="en-GB" w:eastAsia="ro-MD"/>
        </w:rPr>
        <w:t>.</w:t>
      </w:r>
      <w:r w:rsidR="0046367B" w:rsidRPr="00301B0F">
        <w:rPr>
          <w:color w:val="000000" w:themeColor="text1"/>
          <w:lang w:val="en-GB" w:eastAsia="ro-MD"/>
        </w:rPr>
        <w:t xml:space="preserve"> </w:t>
      </w:r>
      <w:r w:rsidR="00B9575D" w:rsidRPr="00301B0F">
        <w:rPr>
          <w:color w:val="000000" w:themeColor="text1"/>
          <w:lang w:val="en-GB" w:eastAsia="ro-MD"/>
        </w:rPr>
        <w:t>For an exposure for which the bank applies the IRB Approach by using its own estimates of LGD, the bank may take into account the effect of funded credit protection in accordance with the normative act of the National Bank of Moldova related to the treatment of credit risk for banks under the Internal Ratings Based Approach (IRB) when calculating risk-weighted exposure amounts and, where applicable, expected loss amounts for the purposes of Regulation No 109/2018</w:t>
      </w:r>
      <w:r w:rsidR="0046367B" w:rsidRPr="00301B0F">
        <w:rPr>
          <w:color w:val="000000" w:themeColor="text1"/>
          <w:lang w:val="en-GB" w:eastAsia="ro-MD"/>
        </w:rPr>
        <w:t>.</w:t>
      </w:r>
    </w:p>
    <w:p w14:paraId="7DC30F74" w14:textId="6FB73C1D" w:rsidR="0046367B" w:rsidRPr="00301B0F" w:rsidRDefault="0046367B" w:rsidP="0046367B">
      <w:pPr>
        <w:jc w:val="both"/>
        <w:rPr>
          <w:color w:val="000000" w:themeColor="text1"/>
          <w:lang w:val="en-GB" w:eastAsia="ro-MD"/>
        </w:rPr>
      </w:pPr>
      <w:r w:rsidRPr="00301B0F">
        <w:rPr>
          <w:b/>
          <w:bCs/>
          <w:color w:val="000000" w:themeColor="text1"/>
          <w:lang w:val="en-GB" w:eastAsia="ro-MD"/>
        </w:rPr>
        <w:t>4</w:t>
      </w:r>
      <w:r w:rsidRPr="00301B0F">
        <w:rPr>
          <w:b/>
          <w:bCs/>
          <w:color w:val="000000" w:themeColor="text1"/>
          <w:vertAlign w:val="superscript"/>
          <w:lang w:val="en-GB" w:eastAsia="ro-MD"/>
        </w:rPr>
        <w:t>2</w:t>
      </w:r>
      <w:r w:rsidRPr="00301B0F">
        <w:rPr>
          <w:b/>
          <w:bCs/>
          <w:color w:val="000000" w:themeColor="text1"/>
          <w:lang w:val="en-GB" w:eastAsia="ro-MD"/>
        </w:rPr>
        <w:t>.</w:t>
      </w:r>
      <w:r w:rsidRPr="00301B0F">
        <w:rPr>
          <w:color w:val="000000" w:themeColor="text1"/>
          <w:lang w:val="en-GB" w:eastAsia="ro-MD"/>
        </w:rPr>
        <w:t xml:space="preserve"> </w:t>
      </w:r>
      <w:r w:rsidR="00D70B02" w:rsidRPr="00301B0F">
        <w:rPr>
          <w:color w:val="000000" w:themeColor="text1"/>
          <w:lang w:val="en-GB" w:eastAsia="ro-MD"/>
        </w:rPr>
        <w:t xml:space="preserve">Where the bank applies the IRB Approach by using its own estimates of LGD for both the original exposure and for comparable direct exposures to the protection provider, the bank may take into </w:t>
      </w:r>
      <w:r w:rsidR="00D70B02" w:rsidRPr="00301B0F">
        <w:rPr>
          <w:color w:val="000000" w:themeColor="text1"/>
          <w:lang w:val="en-GB" w:eastAsia="ro-MD"/>
        </w:rPr>
        <w:lastRenderedPageBreak/>
        <w:t xml:space="preserve">account the effect of unfunded credit protection in accordance with the normative act of the National Bank of Moldova related to the treatment of credit risk under the IRB Approach when calculating risk-weighted exposure amounts and, where applicable, expected loss amounts for the purposes of Regulation No 109/2018. In all other cases, for those purposes, the bank may </w:t>
      </w:r>
      <w:proofErr w:type="gramStart"/>
      <w:r w:rsidR="00D70B02" w:rsidRPr="00301B0F">
        <w:rPr>
          <w:color w:val="000000" w:themeColor="text1"/>
          <w:lang w:val="en-GB" w:eastAsia="ro-MD"/>
        </w:rPr>
        <w:t>take into account</w:t>
      </w:r>
      <w:proofErr w:type="gramEnd"/>
      <w:r w:rsidR="00D70B02" w:rsidRPr="00301B0F">
        <w:rPr>
          <w:color w:val="000000" w:themeColor="text1"/>
          <w:lang w:val="en-GB" w:eastAsia="ro-MD"/>
        </w:rPr>
        <w:t xml:space="preserve"> the effect of unfunded credit protection when calculating risk-weighted exposure amounts and expected loss amounts in accordance with this Regulation</w:t>
      </w:r>
      <w:r w:rsidRPr="00301B0F">
        <w:rPr>
          <w:color w:val="000000" w:themeColor="text1"/>
          <w:lang w:val="en-GB" w:eastAsia="ro-MD"/>
        </w:rPr>
        <w:t>.</w:t>
      </w:r>
      <w:r w:rsidR="000100B5" w:rsidRPr="00301B0F">
        <w:rPr>
          <w:color w:val="000000" w:themeColor="text1"/>
          <w:lang w:val="en-GB" w:eastAsia="ro-MD"/>
        </w:rPr>
        <w:t>”.</w:t>
      </w:r>
    </w:p>
    <w:bookmarkEnd w:id="4"/>
    <w:p w14:paraId="08F768DB" w14:textId="17F14F9F" w:rsidR="007417B9" w:rsidRPr="00301B0F" w:rsidRDefault="00D70B02"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 xml:space="preserve">In </w:t>
      </w:r>
      <w:r w:rsidR="008238F3" w:rsidRPr="00301B0F">
        <w:rPr>
          <w:color w:val="000000" w:themeColor="text1"/>
          <w:lang w:val="en-GB"/>
        </w:rPr>
        <w:t>paragraph</w:t>
      </w:r>
      <w:r w:rsidRPr="00301B0F">
        <w:rPr>
          <w:color w:val="000000" w:themeColor="text1"/>
          <w:lang w:val="en-GB"/>
        </w:rPr>
        <w:t xml:space="preserve"> 6, after the text “Regulation No 111/2018,” the following text shall be added “or the normative act of the National Bank of Moldova regarding the treatment of credit risk under the internal </w:t>
      </w:r>
      <w:proofErr w:type="gramStart"/>
      <w:r w:rsidRPr="00301B0F">
        <w:rPr>
          <w:color w:val="000000" w:themeColor="text1"/>
          <w:lang w:val="en-GB"/>
        </w:rPr>
        <w:t>ratings</w:t>
      </w:r>
      <w:r w:rsidR="00D313EA">
        <w:rPr>
          <w:color w:val="000000" w:themeColor="text1"/>
          <w:lang w:val="en-GB"/>
        </w:rPr>
        <w:t xml:space="preserve"> </w:t>
      </w:r>
      <w:r w:rsidRPr="00301B0F">
        <w:rPr>
          <w:color w:val="000000" w:themeColor="text1"/>
          <w:lang w:val="en-GB"/>
        </w:rPr>
        <w:t>based</w:t>
      </w:r>
      <w:proofErr w:type="gramEnd"/>
      <w:r w:rsidRPr="00301B0F">
        <w:rPr>
          <w:color w:val="000000" w:themeColor="text1"/>
          <w:lang w:val="en-GB"/>
        </w:rPr>
        <w:t xml:space="preserve"> approach, as applicable</w:t>
      </w:r>
      <w:r w:rsidR="004D47EB" w:rsidRPr="00301B0F">
        <w:rPr>
          <w:color w:val="000000" w:themeColor="text1"/>
          <w:lang w:val="en-GB"/>
        </w:rPr>
        <w:t>,”.</w:t>
      </w:r>
    </w:p>
    <w:p w14:paraId="4138DD61" w14:textId="25CD14C5" w:rsidR="007E133D" w:rsidRPr="00301B0F" w:rsidRDefault="00D70B02"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 xml:space="preserve">In </w:t>
      </w:r>
      <w:r w:rsidR="008238F3" w:rsidRPr="00301B0F">
        <w:rPr>
          <w:color w:val="000000" w:themeColor="text1"/>
          <w:lang w:val="en-GB"/>
        </w:rPr>
        <w:t xml:space="preserve">paragraph </w:t>
      </w:r>
      <w:r w:rsidR="004D47EB" w:rsidRPr="00301B0F">
        <w:rPr>
          <w:color w:val="000000" w:themeColor="text1"/>
          <w:lang w:val="en-GB"/>
        </w:rPr>
        <w:t>7</w:t>
      </w:r>
      <w:r w:rsidR="007E133D" w:rsidRPr="00301B0F">
        <w:rPr>
          <w:color w:val="000000" w:themeColor="text1"/>
          <w:lang w:val="en-GB"/>
        </w:rPr>
        <w:t>:</w:t>
      </w:r>
    </w:p>
    <w:p w14:paraId="1575701E" w14:textId="07CBBB28" w:rsidR="007E133D" w:rsidRPr="00301B0F" w:rsidRDefault="00412988" w:rsidP="00F64E3B">
      <w:pPr>
        <w:pStyle w:val="ListParagraph"/>
        <w:numPr>
          <w:ilvl w:val="2"/>
          <w:numId w:val="27"/>
        </w:numPr>
        <w:tabs>
          <w:tab w:val="left" w:pos="567"/>
        </w:tabs>
        <w:ind w:left="0" w:firstLine="567"/>
        <w:jc w:val="both"/>
        <w:rPr>
          <w:color w:val="000000" w:themeColor="text1"/>
          <w:lang w:val="en-GB"/>
        </w:rPr>
      </w:pPr>
      <w:r w:rsidRPr="00301B0F">
        <w:rPr>
          <w:color w:val="000000" w:themeColor="text1"/>
          <w:lang w:val="en-GB"/>
        </w:rPr>
        <w:t>After the words “under the standardised approach” the words “and the calculation of risk-weighted exposure amounts and expected loss amounts under the IRB Approach</w:t>
      </w:r>
      <w:r w:rsidR="007E133D" w:rsidRPr="00301B0F">
        <w:rPr>
          <w:color w:val="000000" w:themeColor="text1"/>
          <w:lang w:val="en-GB"/>
        </w:rPr>
        <w:t>”</w:t>
      </w:r>
      <w:r w:rsidR="00DB4443">
        <w:rPr>
          <w:color w:val="000000" w:themeColor="text1"/>
          <w:lang w:val="en-GB"/>
        </w:rPr>
        <w:t xml:space="preserve"> are inserted</w:t>
      </w:r>
      <w:r w:rsidR="007E133D" w:rsidRPr="00301B0F">
        <w:rPr>
          <w:color w:val="000000" w:themeColor="text1"/>
          <w:lang w:val="en-GB"/>
        </w:rPr>
        <w:t>;</w:t>
      </w:r>
    </w:p>
    <w:p w14:paraId="585DDF90" w14:textId="66717CDD" w:rsidR="007E133D" w:rsidRPr="00301B0F" w:rsidRDefault="00412988" w:rsidP="00FE32A6">
      <w:pPr>
        <w:pStyle w:val="ListParagraph"/>
        <w:numPr>
          <w:ilvl w:val="2"/>
          <w:numId w:val="27"/>
        </w:numPr>
        <w:tabs>
          <w:tab w:val="left" w:pos="567"/>
        </w:tabs>
        <w:ind w:left="0" w:firstLine="567"/>
        <w:jc w:val="both"/>
        <w:rPr>
          <w:color w:val="000000" w:themeColor="text1"/>
          <w:lang w:val="en-GB"/>
        </w:rPr>
      </w:pPr>
      <w:r w:rsidRPr="00301B0F">
        <w:rPr>
          <w:color w:val="000000" w:themeColor="text1"/>
          <w:lang w:val="en-GB"/>
        </w:rPr>
        <w:t>the words “and VI” shall be excluded</w:t>
      </w:r>
      <w:r w:rsidR="007E133D" w:rsidRPr="00301B0F">
        <w:rPr>
          <w:color w:val="000000" w:themeColor="text1"/>
          <w:lang w:val="en-GB"/>
        </w:rPr>
        <w:t>;</w:t>
      </w:r>
    </w:p>
    <w:p w14:paraId="58503B1A" w14:textId="406757E0" w:rsidR="003A1338" w:rsidRPr="00301B0F" w:rsidRDefault="007A141C"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 xml:space="preserve">In </w:t>
      </w:r>
      <w:r w:rsidR="008238F3" w:rsidRPr="00301B0F">
        <w:rPr>
          <w:color w:val="000000" w:themeColor="text1"/>
          <w:lang w:val="en-GB"/>
        </w:rPr>
        <w:t xml:space="preserve">paragraph </w:t>
      </w:r>
      <w:r w:rsidRPr="00301B0F">
        <w:rPr>
          <w:color w:val="000000" w:themeColor="text1"/>
          <w:lang w:val="en-GB"/>
        </w:rPr>
        <w:t>9 and 10, the words “, calculating risk-weighted exposure amounts under the Standardised Approach” are inserted after the words “Where a bank</w:t>
      </w:r>
      <w:r w:rsidR="00555117" w:rsidRPr="00301B0F">
        <w:rPr>
          <w:color w:val="000000" w:themeColor="text1"/>
          <w:lang w:val="en-GB"/>
        </w:rPr>
        <w:t>,</w:t>
      </w:r>
      <w:r w:rsidR="006E3480" w:rsidRPr="00301B0F">
        <w:rPr>
          <w:color w:val="000000" w:themeColor="text1"/>
          <w:lang w:val="en-GB"/>
        </w:rPr>
        <w:t>”.</w:t>
      </w:r>
      <w:bookmarkStart w:id="5" w:name="_Hlk78366134"/>
    </w:p>
    <w:p w14:paraId="0BD0089F" w14:textId="064191D4" w:rsidR="008C1C06" w:rsidRPr="00301B0F" w:rsidRDefault="008238F3"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 xml:space="preserve">Paragraph </w:t>
      </w:r>
      <w:r w:rsidR="007A141C" w:rsidRPr="00301B0F">
        <w:rPr>
          <w:color w:val="000000" w:themeColor="text1"/>
          <w:lang w:val="en-GB"/>
        </w:rPr>
        <w:t>10</w:t>
      </w:r>
      <w:r w:rsidR="007A141C" w:rsidRPr="001B2442">
        <w:rPr>
          <w:color w:val="000000" w:themeColor="text1"/>
          <w:vertAlign w:val="superscript"/>
          <w:lang w:val="en-GB"/>
        </w:rPr>
        <w:t>1</w:t>
      </w:r>
      <w:r w:rsidR="007A141C" w:rsidRPr="00301B0F">
        <w:rPr>
          <w:color w:val="000000" w:themeColor="text1"/>
          <w:lang w:val="en-GB"/>
        </w:rPr>
        <w:t xml:space="preserve"> shall be added with the following text</w:t>
      </w:r>
      <w:r w:rsidR="008C1C06" w:rsidRPr="00301B0F">
        <w:rPr>
          <w:color w:val="000000" w:themeColor="text1"/>
          <w:lang w:val="en-GB"/>
        </w:rPr>
        <w:t xml:space="preserve">: </w:t>
      </w:r>
    </w:p>
    <w:p w14:paraId="41C8CB91" w14:textId="43AE7DA6" w:rsidR="008C1C06" w:rsidRPr="00301B0F" w:rsidRDefault="007A141C" w:rsidP="00674AD3">
      <w:pPr>
        <w:tabs>
          <w:tab w:val="left" w:pos="567"/>
        </w:tabs>
        <w:jc w:val="both"/>
        <w:rPr>
          <w:color w:val="000000" w:themeColor="text1"/>
          <w:lang w:val="en-GB"/>
        </w:rPr>
      </w:pPr>
      <w:r w:rsidRPr="00301B0F">
        <w:rPr>
          <w:color w:val="000000" w:themeColor="text1"/>
          <w:lang w:val="en-GB"/>
        </w:rPr>
        <w:t>“</w:t>
      </w:r>
      <w:r w:rsidR="00576F53" w:rsidRPr="00301B0F">
        <w:rPr>
          <w:b/>
          <w:bCs/>
          <w:color w:val="000000" w:themeColor="text1"/>
          <w:lang w:val="en-GB"/>
        </w:rPr>
        <w:t>10</w:t>
      </w:r>
      <w:r w:rsidR="008C1C06" w:rsidRPr="00301B0F">
        <w:rPr>
          <w:b/>
          <w:bCs/>
          <w:color w:val="000000" w:themeColor="text1"/>
          <w:vertAlign w:val="superscript"/>
          <w:lang w:val="en-GB"/>
        </w:rPr>
        <w:t>1</w:t>
      </w:r>
      <w:r w:rsidR="008C1C06" w:rsidRPr="00301B0F">
        <w:rPr>
          <w:b/>
          <w:bCs/>
          <w:color w:val="000000" w:themeColor="text1"/>
          <w:lang w:val="en-GB"/>
        </w:rPr>
        <w:t>.</w:t>
      </w:r>
      <w:r w:rsidR="008C1C06" w:rsidRPr="00301B0F">
        <w:rPr>
          <w:color w:val="000000" w:themeColor="text1"/>
          <w:lang w:val="en-GB"/>
        </w:rPr>
        <w:t xml:space="preserve"> </w:t>
      </w:r>
      <w:r w:rsidRPr="00301B0F">
        <w:rPr>
          <w:color w:val="000000" w:themeColor="text1"/>
          <w:lang w:val="en-GB" w:eastAsia="ro-MD"/>
        </w:rPr>
        <w:t xml:space="preserve">Collateral that satisfies all eligibility requirements under this Regulation can be recognised even for exposures associated with undrawn facilities, where drawing under the facility is conditional on the prior or simultaneous purchase or reception of collateral to the extent of the bank’s interest in the collateral once the facility is drawn, such that the bank </w:t>
      </w:r>
      <w:r w:rsidR="007E3F29" w:rsidRPr="00301B0F">
        <w:rPr>
          <w:color w:val="000000" w:themeColor="text1"/>
          <w:lang w:val="en-GB" w:eastAsia="ro-MD"/>
        </w:rPr>
        <w:t>does not have any interest in the collateral to the extent the facility is not drawn</w:t>
      </w:r>
      <w:r w:rsidR="008C1C06" w:rsidRPr="00301B0F">
        <w:rPr>
          <w:color w:val="000000" w:themeColor="text1"/>
          <w:lang w:val="en-GB"/>
        </w:rPr>
        <w:t>.”.</w:t>
      </w:r>
    </w:p>
    <w:p w14:paraId="2DD99FF3" w14:textId="178A82D3" w:rsidR="00897421" w:rsidRPr="00301B0F" w:rsidRDefault="007E3F29"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 xml:space="preserve">In </w:t>
      </w:r>
      <w:r w:rsidR="008238F3" w:rsidRPr="00301B0F">
        <w:rPr>
          <w:color w:val="000000" w:themeColor="text1"/>
          <w:lang w:val="en-GB"/>
        </w:rPr>
        <w:t xml:space="preserve">paragraph </w:t>
      </w:r>
      <w:r w:rsidRPr="00301B0F">
        <w:rPr>
          <w:color w:val="000000" w:themeColor="text1"/>
          <w:lang w:val="en-GB"/>
        </w:rPr>
        <w:t>12, the words “independent, written and reasoned legal opinion” shall be replaced by the words “the latest version of the independent written and reasoned legal opinion used by the bank</w:t>
      </w:r>
      <w:r w:rsidR="00CA7601" w:rsidRPr="00301B0F">
        <w:rPr>
          <w:color w:val="000000" w:themeColor="text1"/>
          <w:lang w:val="en-GB"/>
        </w:rPr>
        <w:t>”.</w:t>
      </w:r>
    </w:p>
    <w:p w14:paraId="762FF493" w14:textId="58B55B6D" w:rsidR="00CA7601" w:rsidRPr="00301B0F" w:rsidRDefault="00FD5F3E" w:rsidP="00794434">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 xml:space="preserve">In </w:t>
      </w:r>
      <w:r w:rsidR="008238F3" w:rsidRPr="00301B0F">
        <w:rPr>
          <w:color w:val="000000" w:themeColor="text1"/>
          <w:lang w:val="en-GB"/>
        </w:rPr>
        <w:t xml:space="preserve">paragraph </w:t>
      </w:r>
      <w:r w:rsidRPr="00301B0F">
        <w:rPr>
          <w:color w:val="000000" w:themeColor="text1"/>
          <w:lang w:val="en-GB"/>
        </w:rPr>
        <w:t>14</w:t>
      </w:r>
      <w:r w:rsidR="00301B0F" w:rsidRPr="00301B0F">
        <w:rPr>
          <w:color w:val="000000" w:themeColor="text1"/>
          <w:lang w:val="en-GB"/>
        </w:rPr>
        <w:t xml:space="preserve"> sub-paragraph </w:t>
      </w:r>
      <w:r w:rsidRPr="00301B0F">
        <w:rPr>
          <w:color w:val="000000" w:themeColor="text1"/>
          <w:lang w:val="en-GB"/>
        </w:rPr>
        <w:t>2) and 17</w:t>
      </w:r>
      <w:r w:rsidR="00301B0F" w:rsidRPr="00301B0F">
        <w:rPr>
          <w:color w:val="000000" w:themeColor="text1"/>
          <w:lang w:val="en-GB"/>
        </w:rPr>
        <w:t xml:space="preserve"> sub-paragraph </w:t>
      </w:r>
      <w:r w:rsidRPr="00301B0F">
        <w:rPr>
          <w:color w:val="000000" w:themeColor="text1"/>
          <w:lang w:val="en-GB"/>
        </w:rPr>
        <w:t>2), the words “as to the credit protection achieved having regard to” are supplemented by the words “the approach used to calculate risk-weighted exposure amounts; and</w:t>
      </w:r>
      <w:r w:rsidRPr="00301B0F">
        <w:rPr>
          <w:color w:val="000000" w:themeColor="text1"/>
          <w:lang w:val="en-GB" w:eastAsia="ro-MD"/>
        </w:rPr>
        <w:t>”</w:t>
      </w:r>
      <w:r w:rsidR="00346B11" w:rsidRPr="00301B0F">
        <w:rPr>
          <w:color w:val="000000" w:themeColor="text1"/>
          <w:lang w:val="en-GB"/>
        </w:rPr>
        <w:t>.</w:t>
      </w:r>
    </w:p>
    <w:p w14:paraId="13F6E53E" w14:textId="41A84F0D" w:rsidR="00517E95" w:rsidRPr="00301B0F" w:rsidRDefault="00FD5F3E"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 xml:space="preserve">In </w:t>
      </w:r>
      <w:r w:rsidR="008238F3" w:rsidRPr="00301B0F">
        <w:rPr>
          <w:color w:val="000000" w:themeColor="text1"/>
          <w:lang w:val="en-GB"/>
        </w:rPr>
        <w:t xml:space="preserve">paragraph </w:t>
      </w:r>
      <w:r w:rsidRPr="00301B0F">
        <w:rPr>
          <w:color w:val="000000" w:themeColor="text1"/>
          <w:lang w:val="en-GB"/>
        </w:rPr>
        <w:t>19, the words “A bank shall have in place” shall be replaced by the words “The bank shall be able to demonstrate to the National Bank of Moldova that it has in place</w:t>
      </w:r>
      <w:r w:rsidR="006D4F30" w:rsidRPr="00301B0F">
        <w:rPr>
          <w:color w:val="000000" w:themeColor="text1"/>
          <w:lang w:val="en-GB"/>
        </w:rPr>
        <w:t>”.</w:t>
      </w:r>
    </w:p>
    <w:p w14:paraId="05726DF5" w14:textId="63297EA3" w:rsidR="0000731F" w:rsidRPr="00301B0F" w:rsidRDefault="00FD5F3E" w:rsidP="006D4F30">
      <w:pPr>
        <w:pStyle w:val="ListParagraph"/>
        <w:numPr>
          <w:ilvl w:val="1"/>
          <w:numId w:val="27"/>
        </w:numPr>
        <w:tabs>
          <w:tab w:val="left" w:pos="567"/>
        </w:tabs>
        <w:ind w:left="0" w:firstLine="567"/>
        <w:jc w:val="both"/>
        <w:rPr>
          <w:color w:val="000000" w:themeColor="text1"/>
          <w:lang w:val="en-GB"/>
        </w:rPr>
      </w:pPr>
      <w:r w:rsidRPr="00301B0F">
        <w:rPr>
          <w:color w:val="000000" w:themeColor="text1"/>
          <w:lang w:val="en-GB"/>
        </w:rPr>
        <w:t xml:space="preserve">In </w:t>
      </w:r>
      <w:r w:rsidR="008238F3" w:rsidRPr="00301B0F">
        <w:rPr>
          <w:color w:val="000000" w:themeColor="text1"/>
          <w:lang w:val="en-GB"/>
        </w:rPr>
        <w:t xml:space="preserve">paragraph </w:t>
      </w:r>
      <w:r w:rsidRPr="00301B0F">
        <w:rPr>
          <w:color w:val="000000" w:themeColor="text1"/>
          <w:lang w:val="en-GB"/>
        </w:rPr>
        <w:t>20, after the text “calculating of risk-weighted exposure amounts,” shall be supplemented by the text “and, where applicable, expected loss amounts</w:t>
      </w:r>
      <w:proofErr w:type="gramStart"/>
      <w:r w:rsidR="00F73F66" w:rsidRPr="00301B0F">
        <w:rPr>
          <w:color w:val="000000" w:themeColor="text1"/>
          <w:lang w:val="en-GB" w:eastAsia="ro-MD"/>
        </w:rPr>
        <w:t xml:space="preserve">, </w:t>
      </w:r>
      <w:r w:rsidR="0093744B" w:rsidRPr="00301B0F">
        <w:rPr>
          <w:color w:val="000000" w:themeColor="text1"/>
          <w:lang w:val="en-GB"/>
        </w:rPr>
        <w:t>”</w:t>
      </w:r>
      <w:proofErr w:type="gramEnd"/>
      <w:r w:rsidR="0093744B" w:rsidRPr="00301B0F">
        <w:rPr>
          <w:color w:val="000000" w:themeColor="text1"/>
          <w:lang w:val="en-GB"/>
        </w:rPr>
        <w:t>.</w:t>
      </w:r>
    </w:p>
    <w:p w14:paraId="3F86372B" w14:textId="02080961" w:rsidR="000340B6" w:rsidRPr="00301B0F" w:rsidRDefault="00FD5F3E" w:rsidP="006D4F30">
      <w:pPr>
        <w:pStyle w:val="ListParagraph"/>
        <w:numPr>
          <w:ilvl w:val="1"/>
          <w:numId w:val="27"/>
        </w:numPr>
        <w:tabs>
          <w:tab w:val="left" w:pos="567"/>
        </w:tabs>
        <w:ind w:left="0" w:firstLine="567"/>
        <w:jc w:val="both"/>
        <w:rPr>
          <w:color w:val="000000" w:themeColor="text1"/>
          <w:lang w:val="en-GB"/>
        </w:rPr>
      </w:pPr>
      <w:r w:rsidRPr="00301B0F">
        <w:rPr>
          <w:color w:val="000000" w:themeColor="text1"/>
          <w:lang w:val="en-GB"/>
        </w:rPr>
        <w:t xml:space="preserve">In </w:t>
      </w:r>
      <w:r w:rsidR="008238F3" w:rsidRPr="00301B0F">
        <w:rPr>
          <w:color w:val="000000" w:themeColor="text1"/>
          <w:lang w:val="en-GB"/>
        </w:rPr>
        <w:t xml:space="preserve">paragraph </w:t>
      </w:r>
      <w:r w:rsidR="0079362A" w:rsidRPr="00301B0F">
        <w:rPr>
          <w:color w:val="000000" w:themeColor="text1"/>
          <w:lang w:val="en-GB"/>
        </w:rPr>
        <w:t>22</w:t>
      </w:r>
      <w:r w:rsidR="000340B6" w:rsidRPr="00301B0F">
        <w:rPr>
          <w:color w:val="000000" w:themeColor="text1"/>
          <w:lang w:val="en-GB"/>
        </w:rPr>
        <w:t>:</w:t>
      </w:r>
    </w:p>
    <w:p w14:paraId="01B658B5" w14:textId="4ED3C0D9" w:rsidR="0093744B" w:rsidRPr="00301B0F" w:rsidRDefault="00BD7D29" w:rsidP="000340B6">
      <w:pPr>
        <w:pStyle w:val="ListParagraph"/>
        <w:numPr>
          <w:ilvl w:val="2"/>
          <w:numId w:val="27"/>
        </w:numPr>
        <w:tabs>
          <w:tab w:val="left" w:pos="567"/>
        </w:tabs>
        <w:ind w:left="0" w:firstLine="567"/>
        <w:jc w:val="both"/>
        <w:rPr>
          <w:color w:val="000000" w:themeColor="text1"/>
          <w:lang w:val="en-GB"/>
        </w:rPr>
      </w:pPr>
      <w:r w:rsidRPr="00301B0F">
        <w:rPr>
          <w:color w:val="000000" w:themeColor="text1"/>
          <w:lang w:val="en-GB"/>
        </w:rPr>
        <w:t>the words “between the bank and the counterparty of the exposure secured by collateral” shall be replaced by the words “of the bank and the counterparty</w:t>
      </w:r>
      <w:r w:rsidR="005703F4" w:rsidRPr="00301B0F">
        <w:rPr>
          <w:color w:val="000000" w:themeColor="text1"/>
          <w:lang w:val="en-GB"/>
        </w:rPr>
        <w:t>”</w:t>
      </w:r>
      <w:r w:rsidR="00FC5659" w:rsidRPr="00301B0F">
        <w:rPr>
          <w:color w:val="000000" w:themeColor="text1"/>
          <w:lang w:val="en-GB"/>
        </w:rPr>
        <w:t>;</w:t>
      </w:r>
    </w:p>
    <w:p w14:paraId="40CE5B34" w14:textId="6027FB02" w:rsidR="00FC5659" w:rsidRPr="00301B0F" w:rsidRDefault="00BD7D29" w:rsidP="000340B6">
      <w:pPr>
        <w:pStyle w:val="ListParagraph"/>
        <w:numPr>
          <w:ilvl w:val="2"/>
          <w:numId w:val="27"/>
        </w:numPr>
        <w:tabs>
          <w:tab w:val="left" w:pos="567"/>
        </w:tabs>
        <w:ind w:left="0" w:firstLine="567"/>
        <w:jc w:val="both"/>
        <w:rPr>
          <w:color w:val="000000" w:themeColor="text1"/>
          <w:lang w:val="en-GB"/>
        </w:rPr>
      </w:pPr>
      <w:r w:rsidRPr="00301B0F">
        <w:rPr>
          <w:color w:val="000000" w:themeColor="text1"/>
          <w:lang w:val="en-GB"/>
        </w:rPr>
        <w:t>after the words ‘Risk weighted exposure amounts’ the words shall be added “and, where applicable, expected loss amounts</w:t>
      </w:r>
      <w:r w:rsidR="00FC5659" w:rsidRPr="00301B0F">
        <w:rPr>
          <w:color w:val="000000" w:themeColor="text1"/>
          <w:lang w:val="en-GB" w:eastAsia="ro-MD"/>
        </w:rPr>
        <w:t>”.</w:t>
      </w:r>
    </w:p>
    <w:p w14:paraId="58CEB034" w14:textId="3D56563E" w:rsidR="00841A67" w:rsidRPr="00301B0F" w:rsidRDefault="00FD5F3E" w:rsidP="006D4F30">
      <w:pPr>
        <w:pStyle w:val="ListParagraph"/>
        <w:numPr>
          <w:ilvl w:val="1"/>
          <w:numId w:val="27"/>
        </w:numPr>
        <w:tabs>
          <w:tab w:val="left" w:pos="567"/>
        </w:tabs>
        <w:ind w:left="0" w:firstLine="567"/>
        <w:jc w:val="both"/>
        <w:rPr>
          <w:color w:val="000000" w:themeColor="text1"/>
          <w:lang w:val="en-GB"/>
        </w:rPr>
      </w:pPr>
      <w:r w:rsidRPr="00301B0F">
        <w:rPr>
          <w:color w:val="000000" w:themeColor="text1"/>
          <w:lang w:val="en-GB"/>
        </w:rPr>
        <w:t xml:space="preserve">In </w:t>
      </w:r>
      <w:r w:rsidR="008238F3" w:rsidRPr="00301B0F">
        <w:rPr>
          <w:color w:val="000000" w:themeColor="text1"/>
          <w:lang w:val="en-GB"/>
        </w:rPr>
        <w:t xml:space="preserve">paragraph </w:t>
      </w:r>
      <w:r w:rsidR="008E3327" w:rsidRPr="00301B0F">
        <w:rPr>
          <w:color w:val="000000" w:themeColor="text1"/>
          <w:lang w:val="en-GB"/>
        </w:rPr>
        <w:t>23</w:t>
      </w:r>
      <w:r w:rsidR="00841A67" w:rsidRPr="00301B0F">
        <w:rPr>
          <w:color w:val="000000" w:themeColor="text1"/>
          <w:lang w:val="en-GB"/>
        </w:rPr>
        <w:t>:</w:t>
      </w:r>
    </w:p>
    <w:p w14:paraId="5DB94A83" w14:textId="6BED22F7" w:rsidR="00841A67" w:rsidRPr="00301B0F" w:rsidRDefault="00BD7D29" w:rsidP="00841A67">
      <w:pPr>
        <w:pStyle w:val="ListParagraph"/>
        <w:numPr>
          <w:ilvl w:val="2"/>
          <w:numId w:val="27"/>
        </w:numPr>
        <w:tabs>
          <w:tab w:val="left" w:pos="567"/>
        </w:tabs>
        <w:ind w:left="0" w:firstLine="567"/>
        <w:jc w:val="both"/>
        <w:rPr>
          <w:color w:val="000000" w:themeColor="text1"/>
          <w:lang w:val="en-GB"/>
        </w:rPr>
      </w:pPr>
      <w:r w:rsidRPr="00301B0F">
        <w:rPr>
          <w:color w:val="000000" w:themeColor="text1"/>
          <w:lang w:val="en-GB"/>
        </w:rPr>
        <w:t xml:space="preserve">the words </w:t>
      </w:r>
      <w:r w:rsidR="00301B0F">
        <w:rPr>
          <w:color w:val="000000" w:themeColor="text1"/>
          <w:lang w:val="en-GB"/>
        </w:rPr>
        <w:t>“</w:t>
      </w:r>
      <w:r w:rsidRPr="00301B0F">
        <w:rPr>
          <w:color w:val="000000" w:themeColor="text1"/>
          <w:lang w:val="en-GB"/>
        </w:rPr>
        <w:t>with a counterparty</w:t>
      </w:r>
      <w:r w:rsidR="00301B0F">
        <w:rPr>
          <w:color w:val="000000" w:themeColor="text1"/>
          <w:lang w:val="en-GB"/>
        </w:rPr>
        <w:t>”</w:t>
      </w:r>
      <w:r w:rsidRPr="00301B0F">
        <w:rPr>
          <w:color w:val="000000" w:themeColor="text1"/>
          <w:lang w:val="en-GB"/>
        </w:rPr>
        <w:t xml:space="preserve"> shall be excluded</w:t>
      </w:r>
      <w:r w:rsidR="00841A67" w:rsidRPr="00301B0F">
        <w:rPr>
          <w:color w:val="000000" w:themeColor="text1"/>
          <w:lang w:val="en-GB"/>
        </w:rPr>
        <w:t>;</w:t>
      </w:r>
    </w:p>
    <w:p w14:paraId="6B38C5DC" w14:textId="247B82FE" w:rsidR="00841A67" w:rsidRPr="00301B0F" w:rsidRDefault="00BD7D29" w:rsidP="00841A67">
      <w:pPr>
        <w:pStyle w:val="ListParagraph"/>
        <w:numPr>
          <w:ilvl w:val="2"/>
          <w:numId w:val="27"/>
        </w:numPr>
        <w:tabs>
          <w:tab w:val="left" w:pos="567"/>
        </w:tabs>
        <w:ind w:left="0" w:firstLine="567"/>
        <w:jc w:val="both"/>
        <w:rPr>
          <w:color w:val="000000" w:themeColor="text1"/>
          <w:lang w:val="en-GB"/>
        </w:rPr>
      </w:pPr>
      <w:r w:rsidRPr="00301B0F">
        <w:rPr>
          <w:color w:val="000000" w:themeColor="text1"/>
          <w:lang w:val="en-GB"/>
        </w:rPr>
        <w:t>after the words "bilateral netting" the words "with a counterparty" shall be supplemented</w:t>
      </w:r>
      <w:r w:rsidR="007C3CFF" w:rsidRPr="00301B0F">
        <w:rPr>
          <w:color w:val="000000" w:themeColor="text1"/>
          <w:lang w:val="en-GB"/>
        </w:rPr>
        <w:t>”</w:t>
      </w:r>
      <w:r w:rsidR="00841A67" w:rsidRPr="00301B0F">
        <w:rPr>
          <w:color w:val="000000" w:themeColor="text1"/>
          <w:lang w:val="en-GB"/>
        </w:rPr>
        <w:t>.</w:t>
      </w:r>
    </w:p>
    <w:p w14:paraId="7EC2A591" w14:textId="52929A62" w:rsidR="004C4927" w:rsidRPr="00301B0F" w:rsidRDefault="008238F3" w:rsidP="00F26F58">
      <w:pPr>
        <w:pStyle w:val="ListParagraph"/>
        <w:numPr>
          <w:ilvl w:val="1"/>
          <w:numId w:val="27"/>
        </w:numPr>
        <w:ind w:left="0" w:firstLine="567"/>
        <w:jc w:val="both"/>
        <w:rPr>
          <w:color w:val="000000" w:themeColor="text1"/>
          <w:lang w:val="en-GB" w:eastAsia="ro-MD"/>
        </w:rPr>
      </w:pPr>
      <w:r w:rsidRPr="00301B0F">
        <w:rPr>
          <w:color w:val="000000" w:themeColor="text1"/>
          <w:lang w:val="en-GB"/>
        </w:rPr>
        <w:t xml:space="preserve">Paragraph </w:t>
      </w:r>
      <w:r w:rsidR="00BD7D29" w:rsidRPr="00301B0F">
        <w:rPr>
          <w:color w:val="000000" w:themeColor="text1"/>
          <w:lang w:val="en-GB" w:eastAsia="ro-MD"/>
        </w:rPr>
        <w:t>24 shall read as follows</w:t>
      </w:r>
      <w:r w:rsidR="00844CF7" w:rsidRPr="00301B0F">
        <w:rPr>
          <w:color w:val="000000" w:themeColor="text1"/>
          <w:lang w:val="en-GB" w:eastAsia="ro-MD"/>
        </w:rPr>
        <w:t>:</w:t>
      </w:r>
    </w:p>
    <w:p w14:paraId="7FC41841" w14:textId="4B8DED45" w:rsidR="00844CF7" w:rsidRPr="00301B0F" w:rsidRDefault="00C06248" w:rsidP="00844CF7">
      <w:pPr>
        <w:jc w:val="both"/>
        <w:rPr>
          <w:color w:val="000000" w:themeColor="text1"/>
          <w:lang w:val="en-GB" w:eastAsia="ro-MD"/>
        </w:rPr>
      </w:pPr>
      <w:r w:rsidRPr="00301B0F">
        <w:rPr>
          <w:color w:val="000000" w:themeColor="text1"/>
          <w:lang w:val="en-GB" w:eastAsia="ro-MD"/>
        </w:rPr>
        <w:t>“Without prejudice to the chapter related to trading book items of the Regulation on the treatment of counterparty credit risk for banks, approved by the Decision of the Executive Board of the National Bank of Moldova No 220/2025 (hereinafter – Regulation No 220/2025), accepted collateral and securities or commodities borrowed under such agreements or transactions stipulated in point 23 shall comply with the eligibility requirements for collateral set out in Sections 3 and 4 of this Chapter.</w:t>
      </w:r>
      <w:r w:rsidR="001E3005" w:rsidRPr="00301B0F">
        <w:rPr>
          <w:color w:val="000000" w:themeColor="text1"/>
          <w:lang w:val="en-GB" w:eastAsia="ro-MD"/>
        </w:rPr>
        <w:t>”.</w:t>
      </w:r>
    </w:p>
    <w:p w14:paraId="1EFE9F14" w14:textId="4C4B424B" w:rsidR="00386948" w:rsidRPr="00301B0F" w:rsidRDefault="00FD5F3E" w:rsidP="002B2B58">
      <w:pPr>
        <w:pStyle w:val="ListParagraph"/>
        <w:numPr>
          <w:ilvl w:val="1"/>
          <w:numId w:val="27"/>
        </w:numPr>
        <w:ind w:left="0" w:firstLine="567"/>
        <w:jc w:val="both"/>
        <w:rPr>
          <w:color w:val="000000" w:themeColor="text1"/>
          <w:lang w:val="en-GB" w:eastAsia="ro-MD"/>
        </w:rPr>
      </w:pPr>
      <w:r w:rsidRPr="00301B0F">
        <w:rPr>
          <w:color w:val="000000" w:themeColor="text1"/>
          <w:lang w:val="en-GB"/>
        </w:rPr>
        <w:lastRenderedPageBreak/>
        <w:t xml:space="preserve">In </w:t>
      </w:r>
      <w:r w:rsidR="00301B0F" w:rsidRPr="00301B0F">
        <w:rPr>
          <w:color w:val="000000" w:themeColor="text1"/>
          <w:lang w:val="en-GB"/>
        </w:rPr>
        <w:t>paragraph</w:t>
      </w:r>
      <w:r w:rsidRPr="00301B0F">
        <w:rPr>
          <w:color w:val="000000" w:themeColor="text1"/>
          <w:lang w:val="en-GB"/>
        </w:rPr>
        <w:t xml:space="preserve"> </w:t>
      </w:r>
      <w:r w:rsidR="002B2B58" w:rsidRPr="00301B0F">
        <w:rPr>
          <w:color w:val="000000" w:themeColor="text1"/>
          <w:lang w:val="en-GB" w:eastAsia="ro-MD"/>
        </w:rPr>
        <w:t>25:</w:t>
      </w:r>
    </w:p>
    <w:p w14:paraId="6E35B613" w14:textId="3144746B" w:rsidR="002B2B58" w:rsidRPr="00301B0F" w:rsidRDefault="00B961D7" w:rsidP="002B2B58">
      <w:pPr>
        <w:pStyle w:val="ListParagraph"/>
        <w:numPr>
          <w:ilvl w:val="2"/>
          <w:numId w:val="27"/>
        </w:numPr>
        <w:ind w:left="0" w:firstLine="567"/>
        <w:jc w:val="both"/>
        <w:rPr>
          <w:color w:val="000000" w:themeColor="text1"/>
          <w:lang w:val="en-GB" w:eastAsia="ro-MD"/>
        </w:rPr>
      </w:pPr>
      <w:r w:rsidRPr="00301B0F">
        <w:rPr>
          <w:color w:val="000000" w:themeColor="text1"/>
          <w:lang w:val="en-GB" w:eastAsia="ro-MD"/>
        </w:rPr>
        <w:t>sub-paragraph 1) shall read as follows:</w:t>
      </w:r>
    </w:p>
    <w:p w14:paraId="0009F513" w14:textId="1FAAF66E" w:rsidR="002B2B58" w:rsidRPr="00301B0F" w:rsidRDefault="00B961D7" w:rsidP="000742E5">
      <w:pPr>
        <w:pStyle w:val="ListParagraph"/>
        <w:ind w:left="0"/>
        <w:jc w:val="both"/>
        <w:rPr>
          <w:color w:val="000000" w:themeColor="text1"/>
          <w:lang w:val="en-GB" w:eastAsia="ro-MD"/>
        </w:rPr>
      </w:pPr>
      <w:r w:rsidRPr="00301B0F">
        <w:rPr>
          <w:color w:val="000000" w:themeColor="text1"/>
          <w:lang w:val="en-GB" w:eastAsia="ro-MD"/>
        </w:rPr>
        <w:t>“</w:t>
      </w:r>
      <w:proofErr w:type="gramStart"/>
      <w:r w:rsidRPr="00301B0F">
        <w:rPr>
          <w:color w:val="000000" w:themeColor="text1"/>
          <w:lang w:val="en-GB" w:eastAsia="ro-MD"/>
        </w:rPr>
        <w:t>money</w:t>
      </w:r>
      <w:proofErr w:type="gramEnd"/>
      <w:r w:rsidRPr="00301B0F">
        <w:rPr>
          <w:color w:val="000000" w:themeColor="text1"/>
          <w:lang w:val="en-GB" w:eastAsia="ro-MD"/>
        </w:rPr>
        <w:t xml:space="preserve"> in the form of a deposit with the creditor bank or instruments assimilated to money held by it</w:t>
      </w:r>
      <w:r w:rsidR="002B2B58" w:rsidRPr="00301B0F">
        <w:rPr>
          <w:color w:val="000000" w:themeColor="text1"/>
          <w:lang w:val="en-GB" w:eastAsia="ro-MD"/>
        </w:rPr>
        <w:t>”;</w:t>
      </w:r>
    </w:p>
    <w:p w14:paraId="6D1948AB" w14:textId="09C9ED9B" w:rsidR="008152E2" w:rsidRPr="00301B0F" w:rsidRDefault="00B961D7" w:rsidP="008152E2">
      <w:pPr>
        <w:pStyle w:val="ListParagraph"/>
        <w:numPr>
          <w:ilvl w:val="2"/>
          <w:numId w:val="27"/>
        </w:numPr>
        <w:ind w:left="0" w:firstLine="567"/>
        <w:jc w:val="both"/>
        <w:rPr>
          <w:color w:val="000000" w:themeColor="text1"/>
          <w:lang w:val="en-GB" w:eastAsia="ro-MD"/>
        </w:rPr>
      </w:pPr>
      <w:r w:rsidRPr="00301B0F">
        <w:rPr>
          <w:color w:val="000000" w:themeColor="text1"/>
          <w:lang w:val="en-GB" w:eastAsia="ro-MD"/>
        </w:rPr>
        <w:t xml:space="preserve">in sub-paragraphs 4), 5) and 6), after the words “by an ECAI” the words “, designated by the bank within the meaning of Regulation </w:t>
      </w:r>
      <w:r w:rsidR="00473771">
        <w:rPr>
          <w:color w:val="000000" w:themeColor="text1"/>
          <w:lang w:val="en-GB" w:eastAsia="ro-MD"/>
        </w:rPr>
        <w:t xml:space="preserve">No </w:t>
      </w:r>
      <w:r w:rsidRPr="00301B0F">
        <w:rPr>
          <w:color w:val="000000" w:themeColor="text1"/>
          <w:lang w:val="en-GB" w:eastAsia="ro-MD"/>
        </w:rPr>
        <w:t>111</w:t>
      </w:r>
      <w:r w:rsidR="00473771">
        <w:rPr>
          <w:color w:val="000000" w:themeColor="text1"/>
          <w:lang w:val="en-GB" w:eastAsia="ro-MD"/>
        </w:rPr>
        <w:t>/2018</w:t>
      </w:r>
      <w:r w:rsidRPr="00301B0F">
        <w:rPr>
          <w:color w:val="000000" w:themeColor="text1"/>
          <w:lang w:val="en-GB" w:eastAsia="ro-MD"/>
        </w:rPr>
        <w:t>” shall be added</w:t>
      </w:r>
      <w:r w:rsidR="00AB49F3" w:rsidRPr="00301B0F">
        <w:rPr>
          <w:color w:val="000000" w:themeColor="text1"/>
          <w:lang w:val="en-GB" w:eastAsia="ro-MD"/>
        </w:rPr>
        <w:t>;</w:t>
      </w:r>
    </w:p>
    <w:p w14:paraId="21FEE5A3" w14:textId="48FA744E" w:rsidR="00AB49F3" w:rsidRPr="00301B0F" w:rsidRDefault="00B961D7" w:rsidP="008152E2">
      <w:pPr>
        <w:pStyle w:val="ListParagraph"/>
        <w:numPr>
          <w:ilvl w:val="2"/>
          <w:numId w:val="27"/>
        </w:numPr>
        <w:ind w:left="0" w:firstLine="567"/>
        <w:jc w:val="both"/>
        <w:rPr>
          <w:color w:val="000000" w:themeColor="text1"/>
          <w:lang w:val="en-GB" w:eastAsia="ro-MD"/>
        </w:rPr>
      </w:pPr>
      <w:r w:rsidRPr="00301B0F">
        <w:rPr>
          <w:color w:val="000000" w:themeColor="text1"/>
          <w:lang w:val="en-GB" w:eastAsia="ro-MD"/>
        </w:rPr>
        <w:t>in sub-paragraph 8), the word “gold” shall be replaced by the words “gold bullion</w:t>
      </w:r>
      <w:r w:rsidR="00AB49F3" w:rsidRPr="00301B0F">
        <w:rPr>
          <w:color w:val="000000" w:themeColor="text1"/>
          <w:lang w:val="en-GB" w:eastAsia="ro-MD"/>
        </w:rPr>
        <w:t>”;</w:t>
      </w:r>
    </w:p>
    <w:p w14:paraId="2A2A7940" w14:textId="77A3706A" w:rsidR="00AB49F3" w:rsidRPr="00301B0F" w:rsidRDefault="00B961D7" w:rsidP="008152E2">
      <w:pPr>
        <w:pStyle w:val="ListParagraph"/>
        <w:numPr>
          <w:ilvl w:val="2"/>
          <w:numId w:val="27"/>
        </w:numPr>
        <w:ind w:left="0" w:firstLine="567"/>
        <w:jc w:val="both"/>
        <w:rPr>
          <w:color w:val="000000" w:themeColor="text1"/>
          <w:lang w:val="en-GB" w:eastAsia="ro-MD"/>
        </w:rPr>
      </w:pPr>
      <w:r w:rsidRPr="00301B0F">
        <w:rPr>
          <w:color w:val="000000" w:themeColor="text1"/>
          <w:lang w:val="en-GB" w:eastAsia="ro-MD"/>
        </w:rPr>
        <w:t>sub-paragraph (9) shall be added, reading as follows</w:t>
      </w:r>
      <w:r w:rsidR="00E1208E" w:rsidRPr="00301B0F">
        <w:rPr>
          <w:color w:val="000000" w:themeColor="text1"/>
          <w:lang w:val="en-GB" w:eastAsia="ro-MD"/>
        </w:rPr>
        <w:t>:</w:t>
      </w:r>
    </w:p>
    <w:p w14:paraId="47F606B4" w14:textId="0BE6B1AD" w:rsidR="00E1208E" w:rsidRPr="00301B0F" w:rsidRDefault="00856631" w:rsidP="00E1208E">
      <w:pPr>
        <w:jc w:val="both"/>
        <w:rPr>
          <w:color w:val="000000" w:themeColor="text1"/>
          <w:lang w:val="en-GB" w:eastAsia="ro-MD"/>
        </w:rPr>
      </w:pPr>
      <w:r w:rsidRPr="00301B0F">
        <w:rPr>
          <w:color w:val="000000" w:themeColor="text1"/>
          <w:lang w:val="en-GB" w:eastAsia="ro-MD"/>
        </w:rPr>
        <w:t>“</w:t>
      </w:r>
      <w:r w:rsidR="007F1B7A" w:rsidRPr="00301B0F">
        <w:rPr>
          <w:color w:val="000000" w:themeColor="text1"/>
          <w:lang w:val="en-GB" w:eastAsia="ro-MD"/>
        </w:rPr>
        <w:t xml:space="preserve">9) </w:t>
      </w:r>
      <w:r w:rsidRPr="00301B0F">
        <w:rPr>
          <w:color w:val="000000" w:themeColor="text1"/>
          <w:lang w:val="en-GB" w:eastAsia="ro-MD"/>
        </w:rPr>
        <w:t xml:space="preserve">securitisation positions that are not </w:t>
      </w:r>
      <w:proofErr w:type="spellStart"/>
      <w:r w:rsidRPr="00301B0F">
        <w:rPr>
          <w:color w:val="000000" w:themeColor="text1"/>
          <w:lang w:val="en-GB" w:eastAsia="ro-MD"/>
        </w:rPr>
        <w:t>resecuritisation</w:t>
      </w:r>
      <w:proofErr w:type="spellEnd"/>
      <w:r w:rsidRPr="00301B0F">
        <w:rPr>
          <w:color w:val="000000" w:themeColor="text1"/>
          <w:lang w:val="en-GB" w:eastAsia="ro-MD"/>
        </w:rPr>
        <w:t xml:space="preserve"> positions and which are subject to a 100 % risk weight or lower in accordance with Regulation No 221/2025 on the prudential treatment of securitisations</w:t>
      </w:r>
      <w:r w:rsidR="007F1B7A" w:rsidRPr="00301B0F">
        <w:rPr>
          <w:color w:val="000000" w:themeColor="text1"/>
          <w:lang w:val="en-GB" w:eastAsia="ro-MD"/>
        </w:rPr>
        <w:t>.”.</w:t>
      </w:r>
    </w:p>
    <w:p w14:paraId="0327D67C" w14:textId="68FEF104" w:rsidR="007C3CFF" w:rsidRPr="00301B0F" w:rsidRDefault="00856631" w:rsidP="00DD1675">
      <w:pPr>
        <w:pStyle w:val="ListParagraph"/>
        <w:numPr>
          <w:ilvl w:val="1"/>
          <w:numId w:val="27"/>
        </w:numPr>
        <w:tabs>
          <w:tab w:val="left" w:pos="567"/>
        </w:tabs>
        <w:spacing w:before="80"/>
        <w:ind w:left="0" w:firstLine="567"/>
        <w:jc w:val="both"/>
        <w:rPr>
          <w:color w:val="000000" w:themeColor="text1"/>
          <w:lang w:val="en-GB"/>
        </w:rPr>
      </w:pPr>
      <w:r w:rsidRPr="00301B0F">
        <w:rPr>
          <w:color w:val="000000" w:themeColor="text1"/>
          <w:lang w:val="en-GB"/>
        </w:rPr>
        <w:t>Paragraph 26 is supplemented by the following sub-paragraph 4)</w:t>
      </w:r>
      <w:r w:rsidR="00445C23" w:rsidRPr="00301B0F">
        <w:rPr>
          <w:color w:val="000000" w:themeColor="text1"/>
          <w:lang w:val="en-GB"/>
        </w:rPr>
        <w:t>:</w:t>
      </w:r>
    </w:p>
    <w:p w14:paraId="6306B3E8" w14:textId="274C8A53" w:rsidR="00445C23" w:rsidRPr="00301B0F" w:rsidRDefault="00856631" w:rsidP="00C20516">
      <w:pPr>
        <w:jc w:val="both"/>
        <w:rPr>
          <w:color w:val="000000" w:themeColor="text1"/>
          <w:lang w:val="en-GB"/>
        </w:rPr>
      </w:pPr>
      <w:r w:rsidRPr="00301B0F">
        <w:rPr>
          <w:color w:val="000000" w:themeColor="text1"/>
          <w:lang w:val="en-GB"/>
        </w:rPr>
        <w:t>“</w:t>
      </w:r>
      <w:r w:rsidR="00C20516" w:rsidRPr="00301B0F">
        <w:rPr>
          <w:color w:val="000000" w:themeColor="text1"/>
          <w:lang w:val="en-GB" w:eastAsia="ro-MD"/>
        </w:rPr>
        <w:t xml:space="preserve">4) </w:t>
      </w:r>
      <w:r w:rsidRPr="00301B0F">
        <w:rPr>
          <w:color w:val="000000" w:themeColor="text1"/>
          <w:lang w:val="en-GB" w:eastAsia="ro-MD"/>
        </w:rPr>
        <w:t xml:space="preserve">debt securities issued by regional governments or local </w:t>
      </w:r>
      <w:proofErr w:type="gramStart"/>
      <w:r w:rsidRPr="00301B0F">
        <w:rPr>
          <w:color w:val="000000" w:themeColor="text1"/>
          <w:lang w:val="en-GB" w:eastAsia="ro-MD"/>
        </w:rPr>
        <w:t>authorities</w:t>
      </w:r>
      <w:proofErr w:type="gramEnd"/>
      <w:r w:rsidRPr="00301B0F">
        <w:rPr>
          <w:color w:val="000000" w:themeColor="text1"/>
          <w:lang w:val="en-GB" w:eastAsia="ro-MD"/>
        </w:rPr>
        <w:t xml:space="preserve"> exposures to which are treated as exposures to the central government in whose jurisdiction they are established under the Regulation No 111</w:t>
      </w:r>
      <w:r w:rsidR="00473771">
        <w:rPr>
          <w:color w:val="000000" w:themeColor="text1"/>
          <w:lang w:val="en-GB" w:eastAsia="ro-MD"/>
        </w:rPr>
        <w:t>/2018</w:t>
      </w:r>
      <w:r w:rsidR="00445C23" w:rsidRPr="00301B0F">
        <w:rPr>
          <w:color w:val="000000" w:themeColor="text1"/>
          <w:lang w:val="en-GB" w:eastAsia="ro-MD"/>
        </w:rPr>
        <w:t>.”.</w:t>
      </w:r>
    </w:p>
    <w:p w14:paraId="40F6C8A7" w14:textId="7D7E780E" w:rsidR="00442410" w:rsidRPr="00301B0F" w:rsidRDefault="00856631" w:rsidP="002C0F98">
      <w:pPr>
        <w:pStyle w:val="ListParagraph"/>
        <w:numPr>
          <w:ilvl w:val="1"/>
          <w:numId w:val="27"/>
        </w:numPr>
        <w:tabs>
          <w:tab w:val="left" w:pos="567"/>
        </w:tabs>
        <w:spacing w:before="80"/>
        <w:ind w:left="0" w:firstLine="567"/>
        <w:jc w:val="both"/>
        <w:rPr>
          <w:color w:val="000000" w:themeColor="text1"/>
          <w:lang w:val="en-GB" w:eastAsia="ro-MD"/>
        </w:rPr>
      </w:pPr>
      <w:r w:rsidRPr="00301B0F">
        <w:rPr>
          <w:color w:val="000000" w:themeColor="text1"/>
          <w:lang w:val="en-GB"/>
        </w:rPr>
        <w:t>Paragraph 27 sub-paragraph 4) is repealed</w:t>
      </w:r>
      <w:r w:rsidR="00442410" w:rsidRPr="00301B0F">
        <w:rPr>
          <w:color w:val="000000" w:themeColor="text1"/>
          <w:lang w:val="en-GB" w:eastAsia="ro-MD"/>
        </w:rPr>
        <w:t>.</w:t>
      </w:r>
    </w:p>
    <w:p w14:paraId="3CEEE861" w14:textId="5093CD0F" w:rsidR="00442410" w:rsidRPr="00301B0F" w:rsidRDefault="00856631"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 28, in the preamble, the words “issued by other banks” shall be supplemented by the words “or by investment firms</w:t>
      </w:r>
      <w:r w:rsidR="00C20516" w:rsidRPr="00301B0F">
        <w:rPr>
          <w:color w:val="000000" w:themeColor="text1"/>
          <w:lang w:val="en-GB"/>
        </w:rPr>
        <w:t>”</w:t>
      </w:r>
      <w:r w:rsidR="005419FF" w:rsidRPr="00301B0F">
        <w:rPr>
          <w:color w:val="000000" w:themeColor="text1"/>
          <w:lang w:val="en-GB"/>
        </w:rPr>
        <w:t>.</w:t>
      </w:r>
    </w:p>
    <w:p w14:paraId="608695EE" w14:textId="4E5DBCAB" w:rsidR="00B168FB" w:rsidRPr="00301B0F" w:rsidRDefault="00856631"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Paragraphs</w:t>
      </w:r>
      <w:r w:rsidR="00BC0E0D" w:rsidRPr="00301B0F">
        <w:rPr>
          <w:color w:val="000000" w:themeColor="text1"/>
          <w:lang w:val="en-GB"/>
        </w:rPr>
        <w:t xml:space="preserve"> 28</w:t>
      </w:r>
      <w:r w:rsidR="00BC0E0D" w:rsidRPr="00301B0F">
        <w:rPr>
          <w:color w:val="000000" w:themeColor="text1"/>
          <w:vertAlign w:val="superscript"/>
          <w:lang w:val="en-GB"/>
        </w:rPr>
        <w:t>1</w:t>
      </w:r>
      <w:r w:rsidR="00BC0E0D" w:rsidRPr="00301B0F">
        <w:rPr>
          <w:color w:val="000000" w:themeColor="text1"/>
          <w:lang w:val="en-GB"/>
        </w:rPr>
        <w:t>-</w:t>
      </w:r>
      <w:r w:rsidR="00B168FB" w:rsidRPr="00301B0F">
        <w:rPr>
          <w:color w:val="000000" w:themeColor="text1"/>
          <w:lang w:val="en-GB"/>
        </w:rPr>
        <w:t>28</w:t>
      </w:r>
      <w:r w:rsidR="00B168FB" w:rsidRPr="00301B0F">
        <w:rPr>
          <w:color w:val="000000" w:themeColor="text1"/>
          <w:vertAlign w:val="superscript"/>
          <w:lang w:val="en-GB"/>
        </w:rPr>
        <w:t>6</w:t>
      </w:r>
      <w:r w:rsidR="00B168FB" w:rsidRPr="00301B0F">
        <w:rPr>
          <w:color w:val="000000" w:themeColor="text1"/>
          <w:lang w:val="en-GB"/>
        </w:rPr>
        <w:t xml:space="preserve"> </w:t>
      </w:r>
      <w:r w:rsidRPr="00301B0F">
        <w:rPr>
          <w:color w:val="000000" w:themeColor="text1"/>
          <w:lang w:val="en-GB"/>
        </w:rPr>
        <w:t>shall be supplemented reading as follows</w:t>
      </w:r>
      <w:r w:rsidR="00B168FB" w:rsidRPr="00301B0F">
        <w:rPr>
          <w:color w:val="000000" w:themeColor="text1"/>
          <w:lang w:val="en-GB"/>
        </w:rPr>
        <w:t>:</w:t>
      </w:r>
    </w:p>
    <w:p w14:paraId="54D02FBC" w14:textId="21AA1F6A" w:rsidR="00B168FB" w:rsidRPr="00301B0F" w:rsidRDefault="00856631" w:rsidP="00A86E98">
      <w:pPr>
        <w:jc w:val="both"/>
        <w:rPr>
          <w:color w:val="000000" w:themeColor="text1"/>
          <w:lang w:val="en-GB" w:eastAsia="ro-MD"/>
        </w:rPr>
      </w:pPr>
      <w:r w:rsidRPr="00301B0F">
        <w:rPr>
          <w:color w:val="000000" w:themeColor="text1"/>
          <w:lang w:val="en-GB" w:eastAsia="ro-MD"/>
        </w:rPr>
        <w:t>“</w:t>
      </w:r>
      <w:r w:rsidR="00B168FB" w:rsidRPr="00301B0F">
        <w:rPr>
          <w:b/>
          <w:bCs/>
          <w:color w:val="000000" w:themeColor="text1"/>
          <w:lang w:val="en-GB" w:eastAsia="ro-MD"/>
        </w:rPr>
        <w:t>28</w:t>
      </w:r>
      <w:r w:rsidR="00B168FB" w:rsidRPr="00301B0F">
        <w:rPr>
          <w:b/>
          <w:bCs/>
          <w:color w:val="000000" w:themeColor="text1"/>
          <w:vertAlign w:val="superscript"/>
          <w:lang w:val="en-GB" w:eastAsia="ro-MD"/>
        </w:rPr>
        <w:t>1</w:t>
      </w:r>
      <w:r w:rsidR="00B168FB" w:rsidRPr="00301B0F">
        <w:rPr>
          <w:b/>
          <w:bCs/>
          <w:color w:val="000000" w:themeColor="text1"/>
          <w:lang w:val="en-GB" w:eastAsia="ro-MD"/>
        </w:rPr>
        <w:t>.</w:t>
      </w:r>
      <w:r w:rsidR="00B168FB" w:rsidRPr="00301B0F">
        <w:rPr>
          <w:color w:val="000000" w:themeColor="text1"/>
          <w:lang w:val="en-GB"/>
        </w:rPr>
        <w:t xml:space="preserve"> </w:t>
      </w:r>
      <w:r w:rsidRPr="00301B0F">
        <w:rPr>
          <w:color w:val="000000" w:themeColor="text1"/>
          <w:lang w:val="en-GB" w:eastAsia="ro-MD"/>
        </w:rPr>
        <w:t>Banks may use units or shares in CIUs as eligible collateral where all the following conditions are satisfied</w:t>
      </w:r>
      <w:r w:rsidR="00B168FB" w:rsidRPr="00301B0F">
        <w:rPr>
          <w:color w:val="000000" w:themeColor="text1"/>
          <w:lang w:val="en-GB" w:eastAsia="ro-MD"/>
        </w:rPr>
        <w:t>:</w:t>
      </w:r>
    </w:p>
    <w:p w14:paraId="51C415EA" w14:textId="72BD2B7D" w:rsidR="00B168FB" w:rsidRPr="00301B0F" w:rsidRDefault="00B168FB" w:rsidP="00A86E98">
      <w:pPr>
        <w:ind w:firstLine="567"/>
        <w:jc w:val="both"/>
        <w:rPr>
          <w:color w:val="000000" w:themeColor="text1"/>
          <w:lang w:val="en-GB" w:eastAsia="ro-MD"/>
        </w:rPr>
      </w:pPr>
      <w:r w:rsidRPr="00301B0F">
        <w:rPr>
          <w:color w:val="000000" w:themeColor="text1"/>
          <w:lang w:val="en-GB" w:eastAsia="ro-MD"/>
        </w:rPr>
        <w:t xml:space="preserve">1) </w:t>
      </w:r>
      <w:r w:rsidR="00856631" w:rsidRPr="00301B0F">
        <w:rPr>
          <w:color w:val="000000" w:themeColor="text1"/>
          <w:lang w:val="en-GB" w:eastAsia="ro-MD"/>
        </w:rPr>
        <w:t>the units or shares have a daily public price quote</w:t>
      </w:r>
      <w:r w:rsidRPr="00301B0F">
        <w:rPr>
          <w:color w:val="000000" w:themeColor="text1"/>
          <w:lang w:val="en-GB" w:eastAsia="ro-MD"/>
        </w:rPr>
        <w:t>;</w:t>
      </w:r>
    </w:p>
    <w:p w14:paraId="6A898AF2" w14:textId="5BFEE90F" w:rsidR="00B168FB" w:rsidRPr="00301B0F" w:rsidRDefault="00B168FB" w:rsidP="00A86E98">
      <w:pPr>
        <w:ind w:firstLine="567"/>
        <w:jc w:val="both"/>
        <w:rPr>
          <w:color w:val="000000" w:themeColor="text1"/>
          <w:lang w:val="en-GB" w:eastAsia="ro-MD"/>
        </w:rPr>
      </w:pPr>
      <w:r w:rsidRPr="00301B0F">
        <w:rPr>
          <w:color w:val="000000" w:themeColor="text1"/>
          <w:lang w:val="en-GB" w:eastAsia="ro-MD"/>
        </w:rPr>
        <w:t xml:space="preserve">2) </w:t>
      </w:r>
      <w:r w:rsidR="00856631" w:rsidRPr="00301B0F">
        <w:rPr>
          <w:color w:val="000000" w:themeColor="text1"/>
          <w:lang w:val="en-GB" w:eastAsia="ro-MD"/>
        </w:rPr>
        <w:t>the CIUs are limited to investing in instruments that are eligible for recognition under paragraphs</w:t>
      </w:r>
      <w:r w:rsidRPr="00301B0F">
        <w:rPr>
          <w:color w:val="000000" w:themeColor="text1"/>
          <w:lang w:val="en-GB" w:eastAsia="ro-MD"/>
        </w:rPr>
        <w:t xml:space="preserve"> 25 </w:t>
      </w:r>
      <w:r w:rsidR="00856631" w:rsidRPr="00301B0F">
        <w:rPr>
          <w:color w:val="000000" w:themeColor="text1"/>
          <w:lang w:val="en-GB" w:eastAsia="ro-MD"/>
        </w:rPr>
        <w:t>and</w:t>
      </w:r>
      <w:r w:rsidRPr="00301B0F">
        <w:rPr>
          <w:color w:val="000000" w:themeColor="text1"/>
          <w:lang w:val="en-GB" w:eastAsia="ro-MD"/>
        </w:rPr>
        <w:t xml:space="preserve"> 28;</w:t>
      </w:r>
    </w:p>
    <w:p w14:paraId="39A4570E" w14:textId="5244C319" w:rsidR="00B168FB" w:rsidRPr="00301B0F" w:rsidRDefault="00B168FB" w:rsidP="00A86E98">
      <w:pPr>
        <w:ind w:firstLine="567"/>
        <w:jc w:val="both"/>
        <w:rPr>
          <w:color w:val="000000" w:themeColor="text1"/>
          <w:lang w:val="en-GB" w:eastAsia="ro-MD"/>
        </w:rPr>
      </w:pPr>
      <w:r w:rsidRPr="00301B0F">
        <w:rPr>
          <w:color w:val="000000" w:themeColor="text1"/>
          <w:lang w:val="en-GB" w:eastAsia="ro-MD"/>
        </w:rPr>
        <w:t xml:space="preserve">3) </w:t>
      </w:r>
      <w:r w:rsidR="00856631" w:rsidRPr="00301B0F">
        <w:rPr>
          <w:color w:val="000000" w:themeColor="text1"/>
          <w:lang w:val="en-GB" w:eastAsia="ro-MD"/>
        </w:rPr>
        <w:t xml:space="preserve">CIUs meet the conditions for determining the risk-weighted exposure amount of a CIU's exposures laid down in Regulation No </w:t>
      </w:r>
      <w:r w:rsidR="00473771">
        <w:rPr>
          <w:color w:val="000000" w:themeColor="text1"/>
          <w:lang w:val="en-GB" w:eastAsia="ro-MD"/>
        </w:rPr>
        <w:t>111/2018</w:t>
      </w:r>
      <w:r w:rsidRPr="00301B0F">
        <w:rPr>
          <w:color w:val="000000" w:themeColor="text1"/>
          <w:lang w:val="en-GB" w:eastAsia="ro-MD"/>
        </w:rPr>
        <w:t>.</w:t>
      </w:r>
    </w:p>
    <w:p w14:paraId="70AC9890" w14:textId="2FDC002F" w:rsidR="00B168FB" w:rsidRPr="00301B0F" w:rsidRDefault="00B168FB" w:rsidP="00A86E98">
      <w:pPr>
        <w:jc w:val="both"/>
        <w:rPr>
          <w:color w:val="000000" w:themeColor="text1"/>
          <w:lang w:val="en-GB" w:eastAsia="ro-MD"/>
        </w:rPr>
      </w:pPr>
      <w:r w:rsidRPr="00301B0F">
        <w:rPr>
          <w:b/>
          <w:bCs/>
          <w:color w:val="000000" w:themeColor="text1"/>
          <w:lang w:val="en-GB" w:eastAsia="ro-MD"/>
        </w:rPr>
        <w:t>28</w:t>
      </w:r>
      <w:r w:rsidRPr="00301B0F">
        <w:rPr>
          <w:b/>
          <w:bCs/>
          <w:color w:val="000000" w:themeColor="text1"/>
          <w:vertAlign w:val="superscript"/>
          <w:lang w:val="en-GB" w:eastAsia="ro-MD"/>
        </w:rPr>
        <w:t>2</w:t>
      </w:r>
      <w:r w:rsidRPr="00301B0F">
        <w:rPr>
          <w:b/>
          <w:bCs/>
          <w:color w:val="000000" w:themeColor="text1"/>
          <w:lang w:val="en-GB" w:eastAsia="ro-MD"/>
        </w:rPr>
        <w:t>.</w:t>
      </w:r>
      <w:r w:rsidRPr="00301B0F">
        <w:rPr>
          <w:color w:val="000000" w:themeColor="text1"/>
          <w:lang w:val="en-GB" w:eastAsia="ro-MD"/>
        </w:rPr>
        <w:t xml:space="preserve"> </w:t>
      </w:r>
      <w:r w:rsidR="006045FE" w:rsidRPr="00301B0F">
        <w:rPr>
          <w:color w:val="000000" w:themeColor="text1"/>
          <w:lang w:val="en-GB" w:eastAsia="ro-MD"/>
        </w:rPr>
        <w:t xml:space="preserve">Where a CIU invests in shares or units of another CIU, conditions laid down in sub-paragraphs </w:t>
      </w:r>
      <w:r w:rsidRPr="00301B0F">
        <w:rPr>
          <w:color w:val="000000" w:themeColor="text1"/>
          <w:lang w:val="en-GB" w:eastAsia="ro-MD"/>
        </w:rPr>
        <w:t xml:space="preserve">1)-3) </w:t>
      </w:r>
      <w:r w:rsidR="006045FE" w:rsidRPr="00301B0F">
        <w:rPr>
          <w:color w:val="000000" w:themeColor="text1"/>
          <w:lang w:val="en-GB" w:eastAsia="ro-MD"/>
        </w:rPr>
        <w:t>of paragraph</w:t>
      </w:r>
      <w:r w:rsidRPr="00301B0F">
        <w:rPr>
          <w:color w:val="000000" w:themeColor="text1"/>
          <w:lang w:val="en-GB" w:eastAsia="ro-MD"/>
        </w:rPr>
        <w:t xml:space="preserve"> 28</w:t>
      </w:r>
      <w:r w:rsidRPr="00301B0F">
        <w:rPr>
          <w:color w:val="000000" w:themeColor="text1"/>
          <w:vertAlign w:val="superscript"/>
          <w:lang w:val="en-GB" w:eastAsia="ro-MD"/>
        </w:rPr>
        <w:t>1</w:t>
      </w:r>
      <w:r w:rsidRPr="00301B0F">
        <w:rPr>
          <w:color w:val="000000" w:themeColor="text1"/>
          <w:lang w:val="en-GB" w:eastAsia="ro-MD"/>
        </w:rPr>
        <w:t xml:space="preserve"> </w:t>
      </w:r>
      <w:r w:rsidR="006045FE" w:rsidRPr="00301B0F">
        <w:rPr>
          <w:color w:val="000000" w:themeColor="text1"/>
          <w:lang w:val="en-GB" w:eastAsia="ro-MD"/>
        </w:rPr>
        <w:t>shall apply equally to any such underlying CIU</w:t>
      </w:r>
      <w:r w:rsidRPr="00301B0F">
        <w:rPr>
          <w:color w:val="000000" w:themeColor="text1"/>
          <w:lang w:val="en-GB" w:eastAsia="ro-MD"/>
        </w:rPr>
        <w:t>.</w:t>
      </w:r>
      <w:r w:rsidRPr="00301B0F">
        <w:rPr>
          <w:color w:val="000000" w:themeColor="text1"/>
          <w:sz w:val="18"/>
          <w:szCs w:val="18"/>
          <w:lang w:val="en-GB" w:eastAsia="ro-MD"/>
        </w:rPr>
        <w:t xml:space="preserve"> </w:t>
      </w:r>
    </w:p>
    <w:p w14:paraId="2865BC68" w14:textId="5D00E567" w:rsidR="00B168FB" w:rsidRPr="00301B0F" w:rsidRDefault="00B168FB" w:rsidP="00A86E98">
      <w:pPr>
        <w:jc w:val="both"/>
        <w:rPr>
          <w:color w:val="000000" w:themeColor="text1"/>
          <w:lang w:val="en-GB" w:eastAsia="ro-MD"/>
        </w:rPr>
      </w:pPr>
      <w:r w:rsidRPr="00301B0F">
        <w:rPr>
          <w:b/>
          <w:bCs/>
          <w:color w:val="000000" w:themeColor="text1"/>
          <w:lang w:val="en-GB" w:eastAsia="ro-MD"/>
        </w:rPr>
        <w:t>28</w:t>
      </w:r>
      <w:r w:rsidRPr="00301B0F">
        <w:rPr>
          <w:b/>
          <w:bCs/>
          <w:color w:val="000000" w:themeColor="text1"/>
          <w:vertAlign w:val="superscript"/>
          <w:lang w:val="en-GB" w:eastAsia="ro-MD"/>
        </w:rPr>
        <w:t>3</w:t>
      </w:r>
      <w:r w:rsidRPr="00301B0F">
        <w:rPr>
          <w:b/>
          <w:bCs/>
          <w:color w:val="000000" w:themeColor="text1"/>
          <w:lang w:val="en-GB" w:eastAsia="ro-MD"/>
        </w:rPr>
        <w:t xml:space="preserve">. </w:t>
      </w:r>
      <w:r w:rsidR="006045FE" w:rsidRPr="00301B0F">
        <w:rPr>
          <w:color w:val="000000" w:themeColor="text1"/>
          <w:lang w:val="en-GB" w:eastAsia="ro-MD"/>
        </w:rPr>
        <w:t>The use by a CIU of derivative instruments to hedge permitted investments shall not prevent units or shares in that undertaking from being eligible as collateral</w:t>
      </w:r>
      <w:r w:rsidRPr="00301B0F">
        <w:rPr>
          <w:color w:val="000000" w:themeColor="text1"/>
          <w:lang w:val="en-GB" w:eastAsia="ro-MD"/>
        </w:rPr>
        <w:t>.</w:t>
      </w:r>
    </w:p>
    <w:p w14:paraId="61F9B16E" w14:textId="4BD9BBB4" w:rsidR="00B168FB" w:rsidRPr="00301B0F" w:rsidRDefault="00B168FB" w:rsidP="00A86E98">
      <w:pPr>
        <w:jc w:val="both"/>
        <w:rPr>
          <w:color w:val="000000" w:themeColor="text1"/>
          <w:lang w:val="en-GB" w:eastAsia="ro-MD"/>
        </w:rPr>
      </w:pPr>
      <w:r w:rsidRPr="00301B0F">
        <w:rPr>
          <w:b/>
          <w:bCs/>
          <w:color w:val="000000" w:themeColor="text1"/>
          <w:lang w:val="en-GB" w:eastAsia="ro-MD"/>
        </w:rPr>
        <w:t>28</w:t>
      </w:r>
      <w:r w:rsidRPr="00301B0F">
        <w:rPr>
          <w:b/>
          <w:bCs/>
          <w:color w:val="000000" w:themeColor="text1"/>
          <w:vertAlign w:val="superscript"/>
          <w:lang w:val="en-GB" w:eastAsia="ro-MD"/>
        </w:rPr>
        <w:t>4</w:t>
      </w:r>
      <w:r w:rsidRPr="00301B0F">
        <w:rPr>
          <w:b/>
          <w:bCs/>
          <w:color w:val="000000" w:themeColor="text1"/>
          <w:lang w:val="en-GB" w:eastAsia="ro-MD"/>
        </w:rPr>
        <w:t>.</w:t>
      </w:r>
      <w:r w:rsidRPr="00301B0F">
        <w:rPr>
          <w:color w:val="000000" w:themeColor="text1"/>
          <w:lang w:val="en-GB" w:eastAsia="ro-MD"/>
        </w:rPr>
        <w:t xml:space="preserve"> </w:t>
      </w:r>
      <w:r w:rsidR="006045FE" w:rsidRPr="00301B0F">
        <w:rPr>
          <w:color w:val="000000" w:themeColor="text1"/>
          <w:lang w:val="en-GB" w:eastAsia="ro-MD"/>
        </w:rPr>
        <w:t xml:space="preserve">For the purposes of paragraphs </w:t>
      </w:r>
      <w:r w:rsidRPr="00301B0F">
        <w:rPr>
          <w:color w:val="000000" w:themeColor="text1"/>
          <w:lang w:val="en-GB" w:eastAsia="ro-MD"/>
        </w:rPr>
        <w:t>28</w:t>
      </w:r>
      <w:r w:rsidRPr="00301B0F">
        <w:rPr>
          <w:color w:val="000000" w:themeColor="text1"/>
          <w:vertAlign w:val="superscript"/>
          <w:lang w:val="en-GB" w:eastAsia="ro-MD"/>
        </w:rPr>
        <w:t>1</w:t>
      </w:r>
      <w:r w:rsidRPr="00301B0F">
        <w:rPr>
          <w:color w:val="000000" w:themeColor="text1"/>
          <w:lang w:val="en-GB" w:eastAsia="ro-MD"/>
        </w:rPr>
        <w:t>-28</w:t>
      </w:r>
      <w:r w:rsidRPr="00301B0F">
        <w:rPr>
          <w:color w:val="000000" w:themeColor="text1"/>
          <w:vertAlign w:val="superscript"/>
          <w:lang w:val="en-GB" w:eastAsia="ro-MD"/>
        </w:rPr>
        <w:t>3</w:t>
      </w:r>
      <w:r w:rsidRPr="00301B0F">
        <w:rPr>
          <w:color w:val="000000" w:themeColor="text1"/>
          <w:lang w:val="en-GB" w:eastAsia="ro-MD"/>
        </w:rPr>
        <w:t xml:space="preserve">, </w:t>
      </w:r>
      <w:r w:rsidR="006045FE" w:rsidRPr="00301B0F">
        <w:rPr>
          <w:color w:val="000000" w:themeColor="text1"/>
          <w:lang w:val="en-GB" w:eastAsia="ro-MD"/>
        </w:rPr>
        <w:t>where a CIU (the “original CIU”) or any of its underlying CIUs are not limited to investing in instruments that are eligible under paragraphs</w:t>
      </w:r>
      <w:r w:rsidRPr="00301B0F">
        <w:rPr>
          <w:color w:val="000000" w:themeColor="text1"/>
          <w:lang w:val="en-GB" w:eastAsia="ro-MD"/>
        </w:rPr>
        <w:t xml:space="preserve"> 25-28, </w:t>
      </w:r>
      <w:r w:rsidR="006045FE" w:rsidRPr="00301B0F">
        <w:rPr>
          <w:color w:val="000000" w:themeColor="text1"/>
          <w:lang w:val="en-GB" w:eastAsia="ro-MD"/>
        </w:rPr>
        <w:t>the following shall apply</w:t>
      </w:r>
      <w:r w:rsidRPr="00301B0F">
        <w:rPr>
          <w:color w:val="000000" w:themeColor="text1"/>
          <w:lang w:val="en-GB" w:eastAsia="ro-MD"/>
        </w:rPr>
        <w:t>:</w:t>
      </w:r>
    </w:p>
    <w:p w14:paraId="4318A606" w14:textId="5A1B6408" w:rsidR="00B168FB" w:rsidRPr="00301B0F" w:rsidRDefault="00B168FB" w:rsidP="00A86E98">
      <w:pPr>
        <w:ind w:firstLine="567"/>
        <w:jc w:val="both"/>
        <w:rPr>
          <w:color w:val="000000" w:themeColor="text1"/>
          <w:lang w:val="en-GB" w:eastAsia="ro-MD"/>
        </w:rPr>
      </w:pPr>
      <w:r w:rsidRPr="00301B0F">
        <w:rPr>
          <w:color w:val="000000" w:themeColor="text1"/>
          <w:lang w:val="en-GB" w:eastAsia="ro-MD"/>
        </w:rPr>
        <w:t xml:space="preserve">1) </w:t>
      </w:r>
      <w:r w:rsidR="006045FE" w:rsidRPr="00301B0F">
        <w:rPr>
          <w:color w:val="000000" w:themeColor="text1"/>
          <w:lang w:val="en-GB" w:eastAsia="ro-MD"/>
        </w:rPr>
        <w:t>if banks apply the look-through approach referred to in Regulation No 111/2018 or the NBM normative act related to the treatment of credit risk under the Internal Ratings Based Approach for direct exposures to a CIU, they may use units or shares in that CIU as collateral up to an amount equal to the value of the instruments held by that CIU that are eligible under paragraphs 25 to 28 of this Regulation</w:t>
      </w:r>
      <w:r w:rsidRPr="00301B0F">
        <w:rPr>
          <w:color w:val="000000" w:themeColor="text1"/>
          <w:lang w:val="en-GB" w:eastAsia="ro-MD"/>
        </w:rPr>
        <w:t>;</w:t>
      </w:r>
    </w:p>
    <w:p w14:paraId="23A5FE96" w14:textId="58A7AF71" w:rsidR="00B168FB" w:rsidRPr="00301B0F" w:rsidRDefault="00B168FB" w:rsidP="00B168FB">
      <w:pPr>
        <w:ind w:firstLine="567"/>
        <w:jc w:val="both"/>
        <w:rPr>
          <w:color w:val="000000" w:themeColor="text1"/>
          <w:lang w:val="en-GB" w:eastAsia="ro-MD"/>
        </w:rPr>
      </w:pPr>
      <w:r w:rsidRPr="00301B0F">
        <w:rPr>
          <w:color w:val="000000" w:themeColor="text1"/>
          <w:lang w:val="en-GB" w:eastAsia="ro-MD"/>
        </w:rPr>
        <w:t xml:space="preserve">2) </w:t>
      </w:r>
      <w:r w:rsidR="00C84083" w:rsidRPr="00301B0F">
        <w:rPr>
          <w:color w:val="000000" w:themeColor="text1"/>
          <w:lang w:val="en-GB" w:eastAsia="ro-MD"/>
        </w:rPr>
        <w:t>if banks apply the mandate-based approach referred to in Regulation No 111/2018 or the normative act of the National Bank of Moldova for the treatment of credit risk under the Internal Ratings Based Approach for direct exposures to a CIU, they may use units or shares in that CIU as collateral up to an amount equal to the value of the instruments held by that CIU that are eligible under points 25 and 28, assuming that that CIU or any of its underlying CIUs have invested in non-eligible instruments to the maximum extent permitted by their mandates</w:t>
      </w:r>
      <w:r w:rsidRPr="00301B0F">
        <w:rPr>
          <w:color w:val="000000" w:themeColor="text1"/>
          <w:lang w:val="en-GB" w:eastAsia="ro-MD"/>
        </w:rPr>
        <w:t>.</w:t>
      </w:r>
      <w:r w:rsidR="00C84083" w:rsidRPr="00301B0F">
        <w:rPr>
          <w:color w:val="000000" w:themeColor="text1"/>
          <w:lang w:val="en-GB" w:eastAsia="ro-MD"/>
        </w:rPr>
        <w:t xml:space="preserve"> </w:t>
      </w:r>
    </w:p>
    <w:p w14:paraId="32248221" w14:textId="25BE9AF6" w:rsidR="00B168FB" w:rsidRPr="00301B0F" w:rsidRDefault="00B168FB" w:rsidP="00A86E98">
      <w:pPr>
        <w:jc w:val="both"/>
        <w:rPr>
          <w:color w:val="000000" w:themeColor="text1"/>
          <w:lang w:val="en-GB" w:eastAsia="ro-MD"/>
        </w:rPr>
      </w:pPr>
      <w:r w:rsidRPr="00301B0F">
        <w:rPr>
          <w:b/>
          <w:bCs/>
          <w:color w:val="000000" w:themeColor="text1"/>
          <w:lang w:val="en-GB" w:eastAsia="ro-MD"/>
        </w:rPr>
        <w:t>28</w:t>
      </w:r>
      <w:r w:rsidRPr="00301B0F">
        <w:rPr>
          <w:b/>
          <w:bCs/>
          <w:color w:val="000000" w:themeColor="text1"/>
          <w:vertAlign w:val="superscript"/>
          <w:lang w:val="en-GB" w:eastAsia="ro-MD"/>
        </w:rPr>
        <w:t>5</w:t>
      </w:r>
      <w:r w:rsidRPr="00301B0F">
        <w:rPr>
          <w:b/>
          <w:bCs/>
          <w:color w:val="000000" w:themeColor="text1"/>
          <w:lang w:val="en-GB" w:eastAsia="ro-MD"/>
        </w:rPr>
        <w:t>.</w:t>
      </w:r>
      <w:r w:rsidRPr="00301B0F">
        <w:rPr>
          <w:color w:val="000000" w:themeColor="text1"/>
          <w:lang w:val="en-GB" w:eastAsia="ro-MD"/>
        </w:rPr>
        <w:t xml:space="preserve"> </w:t>
      </w:r>
      <w:r w:rsidR="00C84083" w:rsidRPr="00301B0F">
        <w:rPr>
          <w:color w:val="000000" w:themeColor="text1"/>
          <w:lang w:val="en-GB" w:eastAsia="ro-MD"/>
        </w:rPr>
        <w:t xml:space="preserve">Where an underlying CIU has underlying CIUs of its own, banks may use units or shares in the original CIU as eligible collateral </w:t>
      </w:r>
      <w:proofErr w:type="gramStart"/>
      <w:r w:rsidR="00C84083" w:rsidRPr="00301B0F">
        <w:rPr>
          <w:color w:val="000000" w:themeColor="text1"/>
          <w:lang w:val="en-GB" w:eastAsia="ro-MD"/>
        </w:rPr>
        <w:t>provided that</w:t>
      </w:r>
      <w:proofErr w:type="gramEnd"/>
      <w:r w:rsidR="00C84083" w:rsidRPr="00301B0F">
        <w:rPr>
          <w:color w:val="000000" w:themeColor="text1"/>
          <w:lang w:val="en-GB" w:eastAsia="ro-MD"/>
        </w:rPr>
        <w:t xml:space="preserve"> they apply the methodology set out in paragraph </w:t>
      </w:r>
      <w:r w:rsidRPr="00301B0F">
        <w:rPr>
          <w:color w:val="000000" w:themeColor="text1"/>
          <w:lang w:val="en-GB" w:eastAsia="ro-MD"/>
        </w:rPr>
        <w:t>28</w:t>
      </w:r>
      <w:r w:rsidRPr="00301B0F">
        <w:rPr>
          <w:color w:val="000000" w:themeColor="text1"/>
          <w:vertAlign w:val="superscript"/>
          <w:lang w:val="en-GB" w:eastAsia="ro-MD"/>
        </w:rPr>
        <w:t>4</w:t>
      </w:r>
      <w:r w:rsidRPr="00301B0F">
        <w:rPr>
          <w:color w:val="000000" w:themeColor="text1"/>
          <w:lang w:val="en-GB" w:eastAsia="ro-MD"/>
        </w:rPr>
        <w:t>.</w:t>
      </w:r>
    </w:p>
    <w:p w14:paraId="3DA10A53" w14:textId="7610AD35" w:rsidR="00B168FB" w:rsidRPr="00301B0F" w:rsidRDefault="00B168FB" w:rsidP="00A86E98">
      <w:pPr>
        <w:jc w:val="both"/>
        <w:rPr>
          <w:color w:val="000000" w:themeColor="text1"/>
          <w:lang w:val="en-GB" w:eastAsia="ro-MD"/>
        </w:rPr>
      </w:pPr>
      <w:r w:rsidRPr="00301B0F">
        <w:rPr>
          <w:b/>
          <w:bCs/>
          <w:color w:val="000000" w:themeColor="text1"/>
          <w:lang w:val="en-GB" w:eastAsia="ro-MD"/>
        </w:rPr>
        <w:lastRenderedPageBreak/>
        <w:t>28</w:t>
      </w:r>
      <w:r w:rsidRPr="00301B0F">
        <w:rPr>
          <w:b/>
          <w:bCs/>
          <w:color w:val="000000" w:themeColor="text1"/>
          <w:vertAlign w:val="superscript"/>
          <w:lang w:val="en-GB" w:eastAsia="ro-MD"/>
        </w:rPr>
        <w:t>6</w:t>
      </w:r>
      <w:r w:rsidRPr="00301B0F">
        <w:rPr>
          <w:b/>
          <w:bCs/>
          <w:color w:val="000000" w:themeColor="text1"/>
          <w:lang w:val="en-GB" w:eastAsia="ro-MD"/>
        </w:rPr>
        <w:t>.</w:t>
      </w:r>
      <w:r w:rsidRPr="00301B0F">
        <w:rPr>
          <w:color w:val="000000" w:themeColor="text1"/>
          <w:lang w:val="en-GB" w:eastAsia="ro-MD"/>
        </w:rPr>
        <w:t xml:space="preserve"> </w:t>
      </w:r>
      <w:r w:rsidR="00C84083" w:rsidRPr="00301B0F">
        <w:rPr>
          <w:color w:val="000000" w:themeColor="text1"/>
          <w:lang w:val="en-GB" w:eastAsia="ro-MD"/>
        </w:rPr>
        <w:t>Where non-eligible assets may have a negative value due to liabilities or contingent liabilities resulting from ownership, banks shall proceed as follows</w:t>
      </w:r>
      <w:r w:rsidRPr="00301B0F">
        <w:rPr>
          <w:color w:val="000000" w:themeColor="text1"/>
          <w:lang w:val="en-GB" w:eastAsia="ro-MD"/>
        </w:rPr>
        <w:t>:</w:t>
      </w:r>
    </w:p>
    <w:p w14:paraId="6615DFED" w14:textId="1053F70C" w:rsidR="00B168FB" w:rsidRPr="00301B0F" w:rsidRDefault="00B168FB" w:rsidP="00B168FB">
      <w:pPr>
        <w:ind w:firstLine="567"/>
        <w:jc w:val="both"/>
        <w:rPr>
          <w:color w:val="000000" w:themeColor="text1"/>
          <w:lang w:val="en-GB" w:eastAsia="ro-MD"/>
        </w:rPr>
      </w:pPr>
      <w:r w:rsidRPr="00301B0F">
        <w:rPr>
          <w:color w:val="000000" w:themeColor="text1"/>
          <w:lang w:val="en-GB" w:eastAsia="ro-MD"/>
        </w:rPr>
        <w:t xml:space="preserve">1) </w:t>
      </w:r>
      <w:r w:rsidR="00C84083" w:rsidRPr="00301B0F">
        <w:rPr>
          <w:color w:val="000000" w:themeColor="text1"/>
          <w:lang w:val="en-GB" w:eastAsia="ro-MD"/>
        </w:rPr>
        <w:t>calculate the total value of the non-eligible assets</w:t>
      </w:r>
      <w:r w:rsidRPr="00301B0F">
        <w:rPr>
          <w:color w:val="000000" w:themeColor="text1"/>
          <w:lang w:val="en-GB" w:eastAsia="ro-MD"/>
        </w:rPr>
        <w:t>;</w:t>
      </w:r>
    </w:p>
    <w:p w14:paraId="3ECB810E" w14:textId="4AEDD52C" w:rsidR="00B168FB" w:rsidRPr="00301B0F" w:rsidRDefault="00B168FB" w:rsidP="0011444E">
      <w:pPr>
        <w:tabs>
          <w:tab w:val="left" w:pos="567"/>
        </w:tabs>
        <w:ind w:firstLine="567"/>
        <w:jc w:val="both"/>
        <w:rPr>
          <w:color w:val="000000" w:themeColor="text1"/>
          <w:lang w:val="en-GB"/>
        </w:rPr>
      </w:pPr>
      <w:r w:rsidRPr="00301B0F">
        <w:rPr>
          <w:color w:val="000000" w:themeColor="text1"/>
          <w:lang w:val="en-GB" w:eastAsia="ro-MD"/>
        </w:rPr>
        <w:t xml:space="preserve">2) </w:t>
      </w:r>
      <w:r w:rsidR="00C84083" w:rsidRPr="00301B0F">
        <w:rPr>
          <w:color w:val="000000" w:themeColor="text1"/>
          <w:lang w:val="en-GB" w:eastAsia="ro-MD"/>
        </w:rPr>
        <w:t>if the amount obtained under sub-paragraph 1) is negative, subtract the absolute value of this amount from the total value of eligible assets</w:t>
      </w:r>
      <w:r w:rsidRPr="00301B0F">
        <w:rPr>
          <w:color w:val="000000" w:themeColor="text1"/>
          <w:lang w:val="en-GB" w:eastAsia="ro-MD"/>
        </w:rPr>
        <w:t>.”.</w:t>
      </w:r>
    </w:p>
    <w:p w14:paraId="0EA806DF" w14:textId="6D0E2670" w:rsidR="00BD35F9" w:rsidRPr="00301B0F" w:rsidRDefault="005E7FFE"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 33 shall read as follows</w:t>
      </w:r>
      <w:r w:rsidR="00BD35F9" w:rsidRPr="00301B0F">
        <w:rPr>
          <w:color w:val="000000" w:themeColor="text1"/>
          <w:lang w:val="en-GB"/>
        </w:rPr>
        <w:t>:</w:t>
      </w:r>
    </w:p>
    <w:p w14:paraId="56D5CE03" w14:textId="51D032ED" w:rsidR="00BD35F9" w:rsidRPr="00301B0F" w:rsidRDefault="005E7FFE" w:rsidP="00BD35F9">
      <w:pPr>
        <w:jc w:val="both"/>
        <w:rPr>
          <w:color w:val="000000" w:themeColor="text1"/>
          <w:lang w:val="en-GB" w:eastAsia="ro-MD"/>
        </w:rPr>
      </w:pPr>
      <w:r w:rsidRPr="00301B0F">
        <w:rPr>
          <w:color w:val="000000" w:themeColor="text1"/>
          <w:lang w:val="en-GB"/>
        </w:rPr>
        <w:t>“</w:t>
      </w:r>
      <w:r w:rsidR="00BD35F9" w:rsidRPr="00301B0F">
        <w:rPr>
          <w:b/>
          <w:bCs/>
          <w:color w:val="000000" w:themeColor="text1"/>
          <w:lang w:val="en-GB"/>
        </w:rPr>
        <w:t>33.</w:t>
      </w:r>
      <w:r w:rsidR="00BD35F9" w:rsidRPr="00301B0F">
        <w:rPr>
          <w:color w:val="000000" w:themeColor="text1"/>
          <w:lang w:val="en-GB"/>
        </w:rPr>
        <w:t xml:space="preserve"> </w:t>
      </w:r>
      <w:r w:rsidRPr="00301B0F">
        <w:rPr>
          <w:color w:val="000000" w:themeColor="text1"/>
          <w:lang w:val="en-GB" w:eastAsia="ro-MD"/>
        </w:rPr>
        <w:t>Where the CIU or any underlying CIU is not limited to investments in instruments that are eligible for recognition under paragraphs 25 and 28 and investments in the items referred to in paragraph 30 sub-paragraph 1), the following shall apply</w:t>
      </w:r>
      <w:r w:rsidR="00BD35F9" w:rsidRPr="00301B0F">
        <w:rPr>
          <w:color w:val="000000" w:themeColor="text1"/>
          <w:lang w:val="en-GB" w:eastAsia="ro-MD"/>
        </w:rPr>
        <w:t xml:space="preserve">: </w:t>
      </w:r>
    </w:p>
    <w:p w14:paraId="634D2493" w14:textId="1EF4B72C" w:rsidR="00BD35F9" w:rsidRPr="00301B0F" w:rsidRDefault="00BD35F9" w:rsidP="00BD35F9">
      <w:pPr>
        <w:ind w:firstLine="567"/>
        <w:jc w:val="both"/>
        <w:rPr>
          <w:color w:val="000000" w:themeColor="text1"/>
          <w:lang w:val="en-GB" w:eastAsia="ro-MD"/>
        </w:rPr>
      </w:pPr>
      <w:r w:rsidRPr="00301B0F">
        <w:rPr>
          <w:color w:val="000000" w:themeColor="text1"/>
          <w:lang w:val="en-GB" w:eastAsia="ro-MD"/>
        </w:rPr>
        <w:t xml:space="preserve">1) </w:t>
      </w:r>
      <w:r w:rsidR="005E7FFE" w:rsidRPr="00301B0F">
        <w:rPr>
          <w:color w:val="000000" w:themeColor="text1"/>
          <w:lang w:val="en-GB" w:eastAsia="ro-MD"/>
        </w:rPr>
        <w:t>if banks apply the look-through approach referred to in Regulation No 111/2018 or the NBM normative act related to the treatment of credit risk under the Internal Ratings Based Approach, they may use units or shares in this CIU as collateral up to an amount equal to the value of the instruments that are eligible under paragraphs 25 and 28 and the instruments referred to in paragraph 30 sub-paragraph 1</w:t>
      </w:r>
      <w:r w:rsidRPr="00301B0F">
        <w:rPr>
          <w:color w:val="000000" w:themeColor="text1"/>
          <w:lang w:val="en-GB" w:eastAsia="ro-MD"/>
        </w:rPr>
        <w:t xml:space="preserve">); </w:t>
      </w:r>
    </w:p>
    <w:p w14:paraId="38A43AAA" w14:textId="382E2367" w:rsidR="00A70022" w:rsidRPr="00301B0F" w:rsidRDefault="00BD35F9" w:rsidP="000742E5">
      <w:pPr>
        <w:tabs>
          <w:tab w:val="left" w:pos="567"/>
        </w:tabs>
        <w:spacing w:before="80"/>
        <w:ind w:firstLine="567"/>
        <w:jc w:val="both"/>
        <w:rPr>
          <w:color w:val="000000" w:themeColor="text1"/>
          <w:lang w:val="en-GB"/>
        </w:rPr>
      </w:pPr>
      <w:r w:rsidRPr="00301B0F">
        <w:rPr>
          <w:color w:val="000000" w:themeColor="text1"/>
          <w:lang w:val="en-GB" w:eastAsia="ro-MD"/>
        </w:rPr>
        <w:t xml:space="preserve">2) </w:t>
      </w:r>
      <w:r w:rsidR="005E7FFE" w:rsidRPr="00301B0F">
        <w:rPr>
          <w:color w:val="000000" w:themeColor="text1"/>
          <w:lang w:val="en-GB" w:eastAsia="ro-MD"/>
        </w:rPr>
        <w:t>if banks apply the mandate-based approach referred to in Regulation No 111/2018 or the NBM’s normative act on the treatment of credit risk under the Internal Ratings Based Approach for direct exposures to a CIU, they may use units or shares in that CIU as collateral up to an amount equal to the value of the instruments held by that CIU that are eligible under paragraphs 25 and 28 and the instruments referred to in paragraph 30 sub-paragraph 1) assuming that that CIU or any of its underlying CIUs have invested in non-eligible assets to the maximum extent permitted by their mandates</w:t>
      </w:r>
      <w:r w:rsidRPr="00301B0F">
        <w:rPr>
          <w:color w:val="000000" w:themeColor="text1"/>
          <w:lang w:val="en-GB" w:eastAsia="ro-MD"/>
        </w:rPr>
        <w:t>.</w:t>
      </w:r>
      <w:r w:rsidR="00F9105A" w:rsidRPr="00301B0F">
        <w:rPr>
          <w:color w:val="000000" w:themeColor="text1"/>
          <w:lang w:val="en-GB"/>
        </w:rPr>
        <w:t>”.</w:t>
      </w:r>
    </w:p>
    <w:p w14:paraId="45283157" w14:textId="627167D0" w:rsidR="00530933" w:rsidRPr="00301B0F" w:rsidRDefault="005E7FFE" w:rsidP="000742E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 34</w:t>
      </w:r>
      <w:r w:rsidR="00530933" w:rsidRPr="00301B0F">
        <w:rPr>
          <w:color w:val="000000" w:themeColor="text1"/>
          <w:lang w:val="en-GB"/>
        </w:rPr>
        <w:t>:</w:t>
      </w:r>
    </w:p>
    <w:p w14:paraId="44449D93" w14:textId="33E481BE" w:rsidR="00530933" w:rsidRPr="00301B0F" w:rsidRDefault="005E7FFE" w:rsidP="000742E5">
      <w:pPr>
        <w:pStyle w:val="ListParagraph"/>
        <w:numPr>
          <w:ilvl w:val="2"/>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the word “assets” shall be replaced by the word “instruments</w:t>
      </w:r>
      <w:r w:rsidR="00530933" w:rsidRPr="00301B0F">
        <w:rPr>
          <w:color w:val="000000" w:themeColor="text1"/>
          <w:lang w:val="en-GB"/>
        </w:rPr>
        <w:t>”;</w:t>
      </w:r>
    </w:p>
    <w:p w14:paraId="3FC6ABEB" w14:textId="436C7E73" w:rsidR="00BD35F9" w:rsidRPr="00301B0F" w:rsidRDefault="005E7FFE" w:rsidP="000742E5">
      <w:pPr>
        <w:pStyle w:val="ListParagraph"/>
        <w:numPr>
          <w:ilvl w:val="2"/>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sub-paragraphs 1) and 2) the word “assets” is replaced by the word “instruments</w:t>
      </w:r>
      <w:r w:rsidR="00530933" w:rsidRPr="00301B0F">
        <w:rPr>
          <w:color w:val="000000" w:themeColor="text1"/>
          <w:lang w:val="en-GB"/>
        </w:rPr>
        <w:t>”</w:t>
      </w:r>
      <w:r w:rsidR="000374C5" w:rsidRPr="00301B0F">
        <w:rPr>
          <w:color w:val="000000" w:themeColor="text1"/>
          <w:lang w:val="en-GB"/>
        </w:rPr>
        <w:t>.</w:t>
      </w:r>
    </w:p>
    <w:p w14:paraId="58EFC7A6" w14:textId="0775AE0A" w:rsidR="001221A2" w:rsidRPr="00301B0F" w:rsidRDefault="005E7FFE" w:rsidP="000742E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After Section 4 of Chapter III, the following Section 4</w:t>
      </w:r>
      <w:r w:rsidRPr="00301B0F">
        <w:rPr>
          <w:color w:val="000000" w:themeColor="text1"/>
          <w:vertAlign w:val="superscript"/>
          <w:lang w:val="en-GB"/>
        </w:rPr>
        <w:t>1</w:t>
      </w:r>
      <w:r w:rsidRPr="00301B0F">
        <w:rPr>
          <w:color w:val="000000" w:themeColor="text1"/>
          <w:lang w:val="en-GB"/>
        </w:rPr>
        <w:t xml:space="preserve"> shall be added</w:t>
      </w:r>
      <w:r w:rsidR="001221A2" w:rsidRPr="00301B0F">
        <w:rPr>
          <w:color w:val="000000" w:themeColor="text1"/>
          <w:lang w:val="en-GB"/>
        </w:rPr>
        <w:t>:</w:t>
      </w:r>
    </w:p>
    <w:p w14:paraId="5BBD09B5" w14:textId="2A0C974E" w:rsidR="0011444E" w:rsidRPr="00301B0F" w:rsidRDefault="005E7FFE" w:rsidP="00930587">
      <w:pPr>
        <w:jc w:val="center"/>
        <w:rPr>
          <w:color w:val="000000" w:themeColor="text1"/>
          <w:lang w:val="en-GB" w:eastAsia="ro-MD"/>
        </w:rPr>
      </w:pPr>
      <w:r w:rsidRPr="00301B0F">
        <w:rPr>
          <w:color w:val="000000" w:themeColor="text1"/>
          <w:lang w:val="en-GB"/>
        </w:rPr>
        <w:t>“</w:t>
      </w:r>
      <w:r w:rsidR="00685426" w:rsidRPr="00301B0F">
        <w:rPr>
          <w:b/>
          <w:bCs/>
          <w:i/>
          <w:iCs/>
          <w:color w:val="000000" w:themeColor="text1"/>
          <w:lang w:val="en-GB" w:eastAsia="ro-MD"/>
        </w:rPr>
        <w:t xml:space="preserve">Section </w:t>
      </w:r>
      <w:r w:rsidR="0011444E" w:rsidRPr="00301B0F">
        <w:rPr>
          <w:b/>
          <w:bCs/>
          <w:i/>
          <w:iCs/>
          <w:color w:val="000000" w:themeColor="text1"/>
          <w:lang w:val="en-GB" w:eastAsia="ro-MD"/>
        </w:rPr>
        <w:t>4</w:t>
      </w:r>
      <w:r w:rsidR="0011444E" w:rsidRPr="00301B0F">
        <w:rPr>
          <w:b/>
          <w:bCs/>
          <w:i/>
          <w:iCs/>
          <w:color w:val="000000" w:themeColor="text1"/>
          <w:vertAlign w:val="superscript"/>
          <w:lang w:val="en-GB" w:eastAsia="ro-MD"/>
        </w:rPr>
        <w:t>1</w:t>
      </w:r>
    </w:p>
    <w:p w14:paraId="7E2A58E4" w14:textId="29A38DE0" w:rsidR="0011444E" w:rsidRPr="00301B0F" w:rsidRDefault="00685426" w:rsidP="00930587">
      <w:pPr>
        <w:jc w:val="center"/>
        <w:rPr>
          <w:color w:val="000000" w:themeColor="text1"/>
          <w:lang w:val="en-GB" w:eastAsia="ro-MD"/>
        </w:rPr>
      </w:pPr>
      <w:r w:rsidRPr="00301B0F">
        <w:rPr>
          <w:b/>
          <w:bCs/>
          <w:i/>
          <w:iCs/>
          <w:color w:val="000000" w:themeColor="text1"/>
          <w:lang w:val="en-GB" w:eastAsia="ro-MD"/>
        </w:rPr>
        <w:t>Extending the eligibility of collateral under the IRB Approach</w:t>
      </w:r>
    </w:p>
    <w:p w14:paraId="39A1117F" w14:textId="1FA797A7" w:rsidR="0011444E" w:rsidRPr="00301B0F" w:rsidRDefault="0011444E" w:rsidP="00930587">
      <w:pPr>
        <w:jc w:val="both"/>
        <w:rPr>
          <w:color w:val="000000" w:themeColor="text1"/>
          <w:lang w:val="en-GB" w:eastAsia="ro-MD"/>
        </w:rPr>
      </w:pPr>
      <w:r w:rsidRPr="00301B0F">
        <w:rPr>
          <w:b/>
          <w:bCs/>
          <w:color w:val="000000" w:themeColor="text1"/>
          <w:lang w:val="en-GB" w:eastAsia="ro-MD"/>
        </w:rPr>
        <w:t>34</w:t>
      </w:r>
      <w:r w:rsidRPr="00301B0F">
        <w:rPr>
          <w:b/>
          <w:bCs/>
          <w:color w:val="000000" w:themeColor="text1"/>
          <w:vertAlign w:val="superscript"/>
          <w:lang w:val="en-GB" w:eastAsia="ro-MD"/>
        </w:rPr>
        <w:t>1</w:t>
      </w:r>
      <w:r w:rsidRPr="00301B0F">
        <w:rPr>
          <w:b/>
          <w:bCs/>
          <w:color w:val="000000" w:themeColor="text1"/>
          <w:lang w:val="en-GB" w:eastAsia="ro-MD"/>
        </w:rPr>
        <w:t>.</w:t>
      </w:r>
      <w:r w:rsidRPr="00301B0F">
        <w:rPr>
          <w:color w:val="000000" w:themeColor="text1"/>
          <w:lang w:val="en-GB" w:eastAsia="ro-MD"/>
        </w:rPr>
        <w:t xml:space="preserve"> </w:t>
      </w:r>
      <w:r w:rsidR="00685426" w:rsidRPr="00301B0F">
        <w:rPr>
          <w:color w:val="000000" w:themeColor="text1"/>
          <w:lang w:val="en-GB" w:eastAsia="ro-MD"/>
        </w:rPr>
        <w:t>In addition to the collateral referred to in paragraphs 25 to 34, banks calculating risk-weighted exposure amounts and expected loss amounts under the IRB Approach may also use the following forms of collateral</w:t>
      </w:r>
      <w:r w:rsidRPr="00301B0F">
        <w:rPr>
          <w:color w:val="000000" w:themeColor="text1"/>
          <w:lang w:val="en-GB" w:eastAsia="ro-MD"/>
        </w:rPr>
        <w:t>:</w:t>
      </w:r>
    </w:p>
    <w:p w14:paraId="732919EA" w14:textId="5619DD85"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1) </w:t>
      </w:r>
      <w:r w:rsidR="00685426" w:rsidRPr="00301B0F">
        <w:rPr>
          <w:color w:val="000000" w:themeColor="text1"/>
          <w:lang w:val="en-GB" w:eastAsia="ro-MD"/>
        </w:rPr>
        <w:t xml:space="preserve">immovable property collateral in accordance with paragraphs </w:t>
      </w:r>
      <w:r w:rsidRPr="00301B0F">
        <w:rPr>
          <w:color w:val="000000" w:themeColor="text1"/>
          <w:lang w:val="en-GB" w:eastAsia="ro-MD"/>
        </w:rPr>
        <w:t>34</w:t>
      </w:r>
      <w:r w:rsidRPr="00301B0F">
        <w:rPr>
          <w:color w:val="000000" w:themeColor="text1"/>
          <w:vertAlign w:val="superscript"/>
          <w:lang w:val="en-GB" w:eastAsia="ro-MD"/>
        </w:rPr>
        <w:t>2</w:t>
      </w:r>
      <w:r w:rsidRPr="00301B0F">
        <w:rPr>
          <w:color w:val="000000" w:themeColor="text1"/>
          <w:lang w:val="en-GB" w:eastAsia="ro-MD"/>
        </w:rPr>
        <w:t>-34</w:t>
      </w:r>
      <w:r w:rsidR="00B21CB1" w:rsidRPr="00301B0F">
        <w:rPr>
          <w:color w:val="000000" w:themeColor="text1"/>
          <w:vertAlign w:val="superscript"/>
          <w:lang w:val="en-GB" w:eastAsia="ro-MD"/>
        </w:rPr>
        <w:t>7</w:t>
      </w:r>
      <w:r w:rsidRPr="00301B0F">
        <w:rPr>
          <w:color w:val="000000" w:themeColor="text1"/>
          <w:lang w:val="en-GB" w:eastAsia="ro-MD"/>
        </w:rPr>
        <w:t>;</w:t>
      </w:r>
    </w:p>
    <w:p w14:paraId="0AD40B9D" w14:textId="53E5FC96"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2) </w:t>
      </w:r>
      <w:r w:rsidR="00685426" w:rsidRPr="00301B0F">
        <w:rPr>
          <w:color w:val="000000" w:themeColor="text1"/>
          <w:lang w:val="en-GB" w:eastAsia="ro-MD"/>
        </w:rPr>
        <w:t xml:space="preserve">receivables in accordance with paragraphs </w:t>
      </w:r>
      <w:r w:rsidRPr="00301B0F">
        <w:rPr>
          <w:color w:val="000000" w:themeColor="text1"/>
          <w:lang w:val="en-GB" w:eastAsia="ro-MD"/>
        </w:rPr>
        <w:t>34</w:t>
      </w:r>
      <w:r w:rsidR="00B21CB1" w:rsidRPr="00301B0F">
        <w:rPr>
          <w:color w:val="000000" w:themeColor="text1"/>
          <w:vertAlign w:val="superscript"/>
          <w:lang w:val="en-GB" w:eastAsia="ro-MD"/>
        </w:rPr>
        <w:t>9</w:t>
      </w:r>
      <w:r w:rsidRPr="00301B0F">
        <w:rPr>
          <w:color w:val="000000" w:themeColor="text1"/>
          <w:lang w:val="en-GB" w:eastAsia="ro-MD"/>
        </w:rPr>
        <w:t xml:space="preserve"> </w:t>
      </w:r>
      <w:r w:rsidR="00685426" w:rsidRPr="00301B0F">
        <w:rPr>
          <w:color w:val="000000" w:themeColor="text1"/>
          <w:lang w:val="en-GB" w:eastAsia="ro-MD"/>
        </w:rPr>
        <w:t>and</w:t>
      </w:r>
      <w:r w:rsidRPr="00301B0F">
        <w:rPr>
          <w:color w:val="000000" w:themeColor="text1"/>
          <w:lang w:val="en-GB" w:eastAsia="ro-MD"/>
        </w:rPr>
        <w:t xml:space="preserve"> 34</w:t>
      </w:r>
      <w:r w:rsidR="00B21CB1" w:rsidRPr="00301B0F">
        <w:rPr>
          <w:color w:val="000000" w:themeColor="text1"/>
          <w:vertAlign w:val="superscript"/>
          <w:lang w:val="en-GB" w:eastAsia="ro-MD"/>
        </w:rPr>
        <w:t>10</w:t>
      </w:r>
      <w:r w:rsidRPr="00301B0F">
        <w:rPr>
          <w:color w:val="000000" w:themeColor="text1"/>
          <w:lang w:val="en-GB" w:eastAsia="ro-MD"/>
        </w:rPr>
        <w:t>;</w:t>
      </w:r>
    </w:p>
    <w:p w14:paraId="03CE4534" w14:textId="270CCF6E"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3) </w:t>
      </w:r>
      <w:r w:rsidR="00685426" w:rsidRPr="00301B0F">
        <w:rPr>
          <w:color w:val="000000" w:themeColor="text1"/>
          <w:lang w:val="en-GB" w:eastAsia="ro-MD"/>
        </w:rPr>
        <w:t xml:space="preserve">other physical collateral in accordance with paragraphs </w:t>
      </w:r>
      <w:r w:rsidRPr="00301B0F">
        <w:rPr>
          <w:color w:val="000000" w:themeColor="text1"/>
          <w:lang w:val="en-GB" w:eastAsia="ro-MD"/>
        </w:rPr>
        <w:t>34</w:t>
      </w:r>
      <w:r w:rsidR="00B21CB1" w:rsidRPr="00301B0F">
        <w:rPr>
          <w:color w:val="000000" w:themeColor="text1"/>
          <w:vertAlign w:val="superscript"/>
          <w:lang w:val="en-GB" w:eastAsia="ro-MD"/>
        </w:rPr>
        <w:t>12</w:t>
      </w:r>
      <w:r w:rsidR="00B21CB1" w:rsidRPr="00301B0F">
        <w:rPr>
          <w:color w:val="000000" w:themeColor="text1"/>
          <w:lang w:val="en-GB" w:eastAsia="ro-MD"/>
        </w:rPr>
        <w:t>-34</w:t>
      </w:r>
      <w:r w:rsidR="00B21CB1" w:rsidRPr="00301B0F">
        <w:rPr>
          <w:color w:val="000000" w:themeColor="text1"/>
          <w:vertAlign w:val="superscript"/>
          <w:lang w:val="en-GB" w:eastAsia="ro-MD"/>
        </w:rPr>
        <w:t>13</w:t>
      </w:r>
      <w:r w:rsidRPr="00301B0F">
        <w:rPr>
          <w:color w:val="000000" w:themeColor="text1"/>
          <w:lang w:val="en-GB" w:eastAsia="ro-MD"/>
        </w:rPr>
        <w:t>;</w:t>
      </w:r>
    </w:p>
    <w:p w14:paraId="1B419417" w14:textId="34848F78"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4) </w:t>
      </w:r>
      <w:r w:rsidR="00685426" w:rsidRPr="00301B0F">
        <w:rPr>
          <w:color w:val="000000" w:themeColor="text1"/>
          <w:lang w:val="en-GB" w:eastAsia="ro-MD"/>
        </w:rPr>
        <w:t xml:space="preserve">leasing in accordance with paragraph </w:t>
      </w:r>
      <w:r w:rsidRPr="00301B0F">
        <w:rPr>
          <w:color w:val="000000" w:themeColor="text1"/>
          <w:lang w:val="en-GB" w:eastAsia="ro-MD"/>
        </w:rPr>
        <w:t>34</w:t>
      </w:r>
      <w:r w:rsidR="00AE7ECA" w:rsidRPr="00301B0F">
        <w:rPr>
          <w:color w:val="000000" w:themeColor="text1"/>
          <w:vertAlign w:val="superscript"/>
          <w:lang w:val="en-GB" w:eastAsia="ro-MD"/>
        </w:rPr>
        <w:t>14</w:t>
      </w:r>
      <w:r w:rsidRPr="00301B0F">
        <w:rPr>
          <w:color w:val="000000" w:themeColor="text1"/>
          <w:lang w:val="en-GB" w:eastAsia="ro-MD"/>
        </w:rPr>
        <w:t>.</w:t>
      </w:r>
    </w:p>
    <w:p w14:paraId="3DDAF2AC" w14:textId="4FCA81F7" w:rsidR="0011444E" w:rsidRPr="00301B0F" w:rsidRDefault="0011444E" w:rsidP="00930587">
      <w:pPr>
        <w:jc w:val="both"/>
        <w:rPr>
          <w:color w:val="000000" w:themeColor="text1"/>
          <w:lang w:val="en-GB" w:eastAsia="ro-MD"/>
        </w:rPr>
      </w:pPr>
      <w:r w:rsidRPr="00301B0F">
        <w:rPr>
          <w:b/>
          <w:bCs/>
          <w:color w:val="000000" w:themeColor="text1"/>
          <w:lang w:val="en-GB" w:eastAsia="ro-MD"/>
        </w:rPr>
        <w:t>34</w:t>
      </w:r>
      <w:r w:rsidRPr="00301B0F">
        <w:rPr>
          <w:b/>
          <w:bCs/>
          <w:color w:val="000000" w:themeColor="text1"/>
          <w:vertAlign w:val="superscript"/>
          <w:lang w:val="en-GB" w:eastAsia="ro-MD"/>
        </w:rPr>
        <w:t>2</w:t>
      </w:r>
      <w:r w:rsidRPr="00301B0F">
        <w:rPr>
          <w:b/>
          <w:bCs/>
          <w:color w:val="000000" w:themeColor="text1"/>
          <w:lang w:val="en-GB" w:eastAsia="ro-MD"/>
        </w:rPr>
        <w:t>.</w:t>
      </w:r>
      <w:r w:rsidRPr="00301B0F">
        <w:rPr>
          <w:color w:val="000000" w:themeColor="text1"/>
          <w:lang w:val="en-GB" w:eastAsia="ro-MD"/>
        </w:rPr>
        <w:t xml:space="preserve"> </w:t>
      </w:r>
      <w:r w:rsidR="00685426" w:rsidRPr="00301B0F">
        <w:rPr>
          <w:color w:val="000000" w:themeColor="text1"/>
          <w:lang w:val="en-GB" w:eastAsia="ro-MD"/>
        </w:rPr>
        <w:t>Unless otherwise specified in Regulation No 111/2018, banks may use as eligible collateral residential property that is or will be occupied or leased by the owner or, in the case of personal investment companies, the beneficial owner, as well as commercial immovable property, including offices and other commercial premises, provided that all of the following conditions are met</w:t>
      </w:r>
      <w:r w:rsidRPr="00301B0F">
        <w:rPr>
          <w:color w:val="000000" w:themeColor="text1"/>
          <w:lang w:val="en-GB" w:eastAsia="ro-MD"/>
        </w:rPr>
        <w:t>:</w:t>
      </w:r>
    </w:p>
    <w:p w14:paraId="139C92CB" w14:textId="22368C7F"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1) </w:t>
      </w:r>
      <w:r w:rsidR="00685426" w:rsidRPr="00301B0F">
        <w:rPr>
          <w:color w:val="000000" w:themeColor="text1"/>
          <w:lang w:val="en-GB" w:eastAsia="ro-MD"/>
        </w:rPr>
        <w:t xml:space="preserve">the property value does not materially depend upon the credit quality of the </w:t>
      </w:r>
      <w:r w:rsidR="00A13553" w:rsidRPr="00301B0F">
        <w:rPr>
          <w:color w:val="000000" w:themeColor="text1"/>
          <w:lang w:val="en-GB" w:eastAsia="ro-MD"/>
        </w:rPr>
        <w:t>borrowe</w:t>
      </w:r>
      <w:r w:rsidR="00685426" w:rsidRPr="00301B0F">
        <w:rPr>
          <w:color w:val="000000" w:themeColor="text1"/>
          <w:lang w:val="en-GB" w:eastAsia="ro-MD"/>
        </w:rPr>
        <w:t>r</w:t>
      </w:r>
      <w:r w:rsidRPr="00301B0F">
        <w:rPr>
          <w:color w:val="000000" w:themeColor="text1"/>
          <w:lang w:val="en-GB" w:eastAsia="ro-MD"/>
        </w:rPr>
        <w:t>;</w:t>
      </w:r>
    </w:p>
    <w:p w14:paraId="78B83535" w14:textId="2A82EC81"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2) </w:t>
      </w:r>
      <w:r w:rsidR="00A13553" w:rsidRPr="00301B0F">
        <w:rPr>
          <w:color w:val="000000" w:themeColor="text1"/>
          <w:lang w:val="en-GB" w:eastAsia="ro-MD"/>
        </w:rPr>
        <w:t>the risk of the borrower does not materially depend upon the performance of the underlying property or project, but on the underlying capacity of the borrower to repay the debt from other sources, and as a consequence the repayment of the facility does not materially depend on any cash flow generated by the underlying property serving as collateral</w:t>
      </w:r>
      <w:r w:rsidRPr="00301B0F">
        <w:rPr>
          <w:color w:val="000000" w:themeColor="text1"/>
          <w:lang w:val="en-GB" w:eastAsia="ro-MD"/>
        </w:rPr>
        <w:t>.</w:t>
      </w:r>
    </w:p>
    <w:p w14:paraId="4DDE2CB0" w14:textId="4053B0F7" w:rsidR="0011444E" w:rsidRPr="00301B0F" w:rsidRDefault="0011444E" w:rsidP="00930587">
      <w:pPr>
        <w:jc w:val="both"/>
        <w:rPr>
          <w:color w:val="000000" w:themeColor="text1"/>
          <w:lang w:val="en-GB" w:eastAsia="ro-MD"/>
        </w:rPr>
      </w:pPr>
      <w:r w:rsidRPr="00301B0F">
        <w:rPr>
          <w:b/>
          <w:bCs/>
          <w:color w:val="000000" w:themeColor="text1"/>
          <w:lang w:val="en-GB" w:eastAsia="ro-MD"/>
        </w:rPr>
        <w:t>34</w:t>
      </w:r>
      <w:r w:rsidRPr="00301B0F">
        <w:rPr>
          <w:b/>
          <w:bCs/>
          <w:color w:val="000000" w:themeColor="text1"/>
          <w:vertAlign w:val="superscript"/>
          <w:lang w:val="en-GB" w:eastAsia="ro-MD"/>
        </w:rPr>
        <w:t>3</w:t>
      </w:r>
      <w:r w:rsidRPr="00301B0F">
        <w:rPr>
          <w:b/>
          <w:bCs/>
          <w:color w:val="000000" w:themeColor="text1"/>
          <w:lang w:val="en-GB" w:eastAsia="ro-MD"/>
        </w:rPr>
        <w:t>.</w:t>
      </w:r>
      <w:r w:rsidRPr="00301B0F">
        <w:rPr>
          <w:color w:val="000000" w:themeColor="text1"/>
          <w:lang w:val="en-GB" w:eastAsia="ro-MD"/>
        </w:rPr>
        <w:t xml:space="preserve"> </w:t>
      </w:r>
      <w:r w:rsidR="00A13553" w:rsidRPr="00301B0F">
        <w:rPr>
          <w:color w:val="000000" w:themeColor="text1"/>
          <w:lang w:val="en-GB" w:eastAsia="ro-MD"/>
        </w:rPr>
        <w:t xml:space="preserve">For the purposes of paragraph </w:t>
      </w:r>
      <w:r w:rsidR="0086632A" w:rsidRPr="00301B0F">
        <w:rPr>
          <w:color w:val="000000" w:themeColor="text1"/>
          <w:lang w:val="en-GB" w:eastAsia="ro-MD"/>
        </w:rPr>
        <w:t>34</w:t>
      </w:r>
      <w:r w:rsidR="0086632A" w:rsidRPr="00301B0F">
        <w:rPr>
          <w:color w:val="000000" w:themeColor="text1"/>
          <w:vertAlign w:val="superscript"/>
          <w:lang w:val="en-GB" w:eastAsia="ro-MD"/>
        </w:rPr>
        <w:t>2</w:t>
      </w:r>
      <w:r w:rsidRPr="00301B0F">
        <w:rPr>
          <w:color w:val="000000" w:themeColor="text1"/>
          <w:lang w:val="en-GB" w:eastAsia="ro-MD"/>
        </w:rPr>
        <w:t xml:space="preserve"> sub</w:t>
      </w:r>
      <w:r w:rsidR="00A13553" w:rsidRPr="00301B0F">
        <w:rPr>
          <w:color w:val="000000" w:themeColor="text1"/>
          <w:lang w:val="en-GB" w:eastAsia="ro-MD"/>
        </w:rPr>
        <w:t>-paragraph</w:t>
      </w:r>
      <w:r w:rsidRPr="00301B0F">
        <w:rPr>
          <w:color w:val="000000" w:themeColor="text1"/>
          <w:lang w:val="en-GB" w:eastAsia="ro-MD"/>
        </w:rPr>
        <w:t xml:space="preserve"> 1), </w:t>
      </w:r>
      <w:r w:rsidR="00A13553" w:rsidRPr="00301B0F">
        <w:rPr>
          <w:color w:val="000000" w:themeColor="text1"/>
          <w:lang w:val="en-GB" w:eastAsia="ro-MD"/>
        </w:rPr>
        <w:t>banks may exclude situations where purely macroeconomic factors affect both the value of the property and the performance of the borrower</w:t>
      </w:r>
      <w:r w:rsidRPr="00301B0F">
        <w:rPr>
          <w:color w:val="000000" w:themeColor="text1"/>
          <w:lang w:val="en-GB" w:eastAsia="ro-MD"/>
        </w:rPr>
        <w:t>.</w:t>
      </w:r>
    </w:p>
    <w:p w14:paraId="5F652E48" w14:textId="404206C1" w:rsidR="0011444E" w:rsidRPr="00301B0F" w:rsidRDefault="0011444E" w:rsidP="00930587">
      <w:pPr>
        <w:jc w:val="both"/>
        <w:rPr>
          <w:color w:val="000000" w:themeColor="text1"/>
          <w:lang w:val="en-GB" w:eastAsia="ro-MD"/>
        </w:rPr>
      </w:pPr>
      <w:r w:rsidRPr="00301B0F">
        <w:rPr>
          <w:b/>
          <w:bCs/>
          <w:color w:val="000000" w:themeColor="text1"/>
          <w:lang w:val="en-GB" w:eastAsia="ro-MD"/>
        </w:rPr>
        <w:lastRenderedPageBreak/>
        <w:t>34</w:t>
      </w:r>
      <w:r w:rsidRPr="00301B0F">
        <w:rPr>
          <w:b/>
          <w:bCs/>
          <w:color w:val="000000" w:themeColor="text1"/>
          <w:vertAlign w:val="superscript"/>
          <w:lang w:val="en-GB" w:eastAsia="ro-MD"/>
        </w:rPr>
        <w:t>4</w:t>
      </w:r>
      <w:r w:rsidRPr="00301B0F">
        <w:rPr>
          <w:b/>
          <w:bCs/>
          <w:color w:val="000000" w:themeColor="text1"/>
          <w:lang w:val="en-GB" w:eastAsia="ro-MD"/>
        </w:rPr>
        <w:t>.</w:t>
      </w:r>
      <w:r w:rsidRPr="00301B0F">
        <w:rPr>
          <w:color w:val="000000" w:themeColor="text1"/>
          <w:lang w:val="en-GB" w:eastAsia="ro-MD"/>
        </w:rPr>
        <w:t xml:space="preserve"> </w:t>
      </w:r>
      <w:r w:rsidR="00A13553" w:rsidRPr="00301B0F">
        <w:rPr>
          <w:color w:val="000000" w:themeColor="text1"/>
          <w:lang w:val="en-GB" w:eastAsia="ro-MD"/>
        </w:rPr>
        <w:t xml:space="preserve">Banks may derogate from paragraph </w:t>
      </w:r>
      <w:r w:rsidRPr="00301B0F">
        <w:rPr>
          <w:color w:val="000000" w:themeColor="text1"/>
          <w:lang w:val="en-GB" w:eastAsia="ro-MD"/>
        </w:rPr>
        <w:t>34</w:t>
      </w:r>
      <w:r w:rsidRPr="00301B0F">
        <w:rPr>
          <w:color w:val="000000" w:themeColor="text1"/>
          <w:vertAlign w:val="superscript"/>
          <w:lang w:val="en-GB" w:eastAsia="ro-MD"/>
        </w:rPr>
        <w:t>2</w:t>
      </w:r>
      <w:r w:rsidRPr="00301B0F">
        <w:rPr>
          <w:color w:val="000000" w:themeColor="text1"/>
          <w:lang w:val="en-GB" w:eastAsia="ro-MD"/>
        </w:rPr>
        <w:t xml:space="preserve"> </w:t>
      </w:r>
      <w:r w:rsidR="00A13553" w:rsidRPr="00301B0F">
        <w:rPr>
          <w:color w:val="000000" w:themeColor="text1"/>
          <w:lang w:val="en-GB" w:eastAsia="ro-MD"/>
        </w:rPr>
        <w:t xml:space="preserve">sub-paragraph </w:t>
      </w:r>
      <w:r w:rsidRPr="00301B0F">
        <w:rPr>
          <w:color w:val="000000" w:themeColor="text1"/>
          <w:lang w:val="en-GB" w:eastAsia="ro-MD"/>
        </w:rPr>
        <w:t xml:space="preserve">2) </w:t>
      </w:r>
      <w:bookmarkStart w:id="6" w:name="_Hlk230794789"/>
      <w:r w:rsidR="00A13553" w:rsidRPr="00301B0F">
        <w:rPr>
          <w:color w:val="000000" w:themeColor="text1"/>
          <w:lang w:val="en-GB" w:eastAsia="ro-MD"/>
        </w:rPr>
        <w:t>for exposures secured by residential property located in the territory of the Republic of Moldova, if the National Bank of Moldova, for the purposes of paragraphs</w:t>
      </w:r>
      <w:r w:rsidR="00B12F85" w:rsidRPr="00301B0F">
        <w:rPr>
          <w:color w:val="000000" w:themeColor="text1"/>
          <w:lang w:val="en-GB" w:eastAsia="ro-MD"/>
        </w:rPr>
        <w:t xml:space="preserve"> 68</w:t>
      </w:r>
      <w:r w:rsidR="00B12F85" w:rsidRPr="00301B0F">
        <w:rPr>
          <w:color w:val="000000" w:themeColor="text1"/>
          <w:vertAlign w:val="superscript"/>
          <w:lang w:val="en-GB" w:eastAsia="ro-MD"/>
        </w:rPr>
        <w:t>4</w:t>
      </w:r>
      <w:r w:rsidR="00B12F85" w:rsidRPr="00301B0F">
        <w:rPr>
          <w:color w:val="000000" w:themeColor="text1"/>
          <w:lang w:val="en-GB" w:eastAsia="ro-MD"/>
        </w:rPr>
        <w:t>-68</w:t>
      </w:r>
      <w:r w:rsidR="00B12F85" w:rsidRPr="00301B0F">
        <w:rPr>
          <w:color w:val="000000" w:themeColor="text1"/>
          <w:vertAlign w:val="superscript"/>
          <w:lang w:val="en-GB" w:eastAsia="ro-MD"/>
        </w:rPr>
        <w:t>8</w:t>
      </w:r>
      <w:r w:rsidR="00B12F85" w:rsidRPr="00301B0F">
        <w:rPr>
          <w:color w:val="000000" w:themeColor="text1"/>
          <w:lang w:val="en-GB" w:eastAsia="ro-MD"/>
        </w:rPr>
        <w:t xml:space="preserve"> </w:t>
      </w:r>
      <w:bookmarkEnd w:id="6"/>
      <w:r w:rsidR="00A13553" w:rsidRPr="00301B0F">
        <w:rPr>
          <w:color w:val="000000" w:themeColor="text1"/>
          <w:lang w:val="en-GB" w:eastAsia="ro-MD"/>
        </w:rPr>
        <w:t>of Regulation No 111/2018, has published evidence indicating the presence of a well-developed and long-established residential property market in that territory with loss rates that do not exceed any of the following limits</w:t>
      </w:r>
      <w:r w:rsidRPr="00301B0F">
        <w:rPr>
          <w:color w:val="000000" w:themeColor="text1"/>
          <w:lang w:val="en-GB" w:eastAsia="ro-MD"/>
        </w:rPr>
        <w:t>:</w:t>
      </w:r>
    </w:p>
    <w:p w14:paraId="47AD71E6" w14:textId="566EE905"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1) </w:t>
      </w:r>
      <w:r w:rsidR="00A13553" w:rsidRPr="00301B0F">
        <w:rPr>
          <w:color w:val="000000" w:themeColor="text1"/>
          <w:lang w:val="en-GB" w:eastAsia="ro-MD"/>
        </w:rPr>
        <w:t>the ratio of the aggregated values reported by banks under sub-paragraphs 1) and 3) of paragraph 1) of Annex No 21 to Regulation No 111/2018 does not exceed 0.3%;</w:t>
      </w:r>
    </w:p>
    <w:p w14:paraId="63F7540D" w14:textId="088BA1E6"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2) </w:t>
      </w:r>
      <w:r w:rsidR="00261B66" w:rsidRPr="00301B0F">
        <w:rPr>
          <w:color w:val="000000" w:themeColor="text1"/>
          <w:lang w:val="en-GB" w:eastAsia="ro-MD"/>
        </w:rPr>
        <w:t>the ratio of the aggregated values reported by banks under sub-paragraphs 2) and 3) of paragraph 1) of Annex No 21 to Regulation No 111/2018 does not exceed 0.5%</w:t>
      </w:r>
      <w:r w:rsidR="00473913" w:rsidRPr="00301B0F">
        <w:rPr>
          <w:color w:val="000000" w:themeColor="text1"/>
          <w:lang w:val="en-GB" w:eastAsia="ro-MD"/>
        </w:rPr>
        <w:t>.</w:t>
      </w:r>
      <w:r w:rsidR="00122323" w:rsidRPr="00301B0F">
        <w:rPr>
          <w:color w:val="000000" w:themeColor="text1"/>
          <w:lang w:val="en-GB" w:eastAsia="ro-MD"/>
        </w:rPr>
        <w:t xml:space="preserve"> </w:t>
      </w:r>
    </w:p>
    <w:p w14:paraId="22606C36" w14:textId="00E4E241" w:rsidR="0011444E" w:rsidRPr="00301B0F" w:rsidRDefault="0011444E" w:rsidP="00930587">
      <w:pPr>
        <w:jc w:val="both"/>
        <w:rPr>
          <w:color w:val="000000" w:themeColor="text1"/>
          <w:lang w:val="en-GB" w:eastAsia="ro-MD"/>
        </w:rPr>
      </w:pPr>
      <w:r w:rsidRPr="00301B0F">
        <w:rPr>
          <w:b/>
          <w:bCs/>
          <w:color w:val="000000" w:themeColor="text1"/>
          <w:lang w:val="en-GB" w:eastAsia="ro-MD"/>
        </w:rPr>
        <w:t>34</w:t>
      </w:r>
      <w:r w:rsidRPr="00301B0F">
        <w:rPr>
          <w:b/>
          <w:bCs/>
          <w:color w:val="000000" w:themeColor="text1"/>
          <w:vertAlign w:val="superscript"/>
          <w:lang w:val="en-GB" w:eastAsia="ro-MD"/>
        </w:rPr>
        <w:t>5</w:t>
      </w:r>
      <w:r w:rsidRPr="00301B0F">
        <w:rPr>
          <w:b/>
          <w:bCs/>
          <w:color w:val="000000" w:themeColor="text1"/>
          <w:lang w:val="en-GB" w:eastAsia="ro-MD"/>
        </w:rPr>
        <w:t>.</w:t>
      </w:r>
      <w:r w:rsidRPr="00301B0F">
        <w:rPr>
          <w:color w:val="000000" w:themeColor="text1"/>
          <w:lang w:val="en-GB" w:eastAsia="ro-MD"/>
        </w:rPr>
        <w:t xml:space="preserve"> </w:t>
      </w:r>
      <w:r w:rsidR="00261B66" w:rsidRPr="00301B0F">
        <w:rPr>
          <w:color w:val="000000" w:themeColor="text1"/>
          <w:lang w:val="en-GB" w:eastAsia="ro-MD"/>
        </w:rPr>
        <w:t xml:space="preserve">If any of the conditions set out in sub-paragraphs 1) and 2) is not met </w:t>
      </w:r>
      <w:proofErr w:type="gramStart"/>
      <w:r w:rsidR="00261B66" w:rsidRPr="00301B0F">
        <w:rPr>
          <w:color w:val="000000" w:themeColor="text1"/>
          <w:lang w:val="en-GB" w:eastAsia="ro-MD"/>
        </w:rPr>
        <w:t>in a given year</w:t>
      </w:r>
      <w:proofErr w:type="gramEnd"/>
      <w:r w:rsidR="00261B66" w:rsidRPr="00301B0F">
        <w:rPr>
          <w:color w:val="000000" w:themeColor="text1"/>
          <w:lang w:val="en-GB" w:eastAsia="ro-MD"/>
        </w:rPr>
        <w:t>, banks shall not apply the treatment specified in that point until both conditions are met in a subsequent year</w:t>
      </w:r>
      <w:r w:rsidRPr="00301B0F">
        <w:rPr>
          <w:color w:val="000000" w:themeColor="text1"/>
          <w:lang w:val="en-GB" w:eastAsia="ro-MD"/>
        </w:rPr>
        <w:t>.</w:t>
      </w:r>
    </w:p>
    <w:p w14:paraId="68242643" w14:textId="591A40A9" w:rsidR="0011444E" w:rsidRPr="00301B0F" w:rsidRDefault="0011444E" w:rsidP="00930587">
      <w:pPr>
        <w:jc w:val="both"/>
        <w:rPr>
          <w:color w:val="000000" w:themeColor="text1"/>
          <w:lang w:val="en-GB" w:eastAsia="ro-MD"/>
        </w:rPr>
      </w:pPr>
      <w:r w:rsidRPr="00301B0F">
        <w:rPr>
          <w:b/>
          <w:bCs/>
          <w:color w:val="000000" w:themeColor="text1"/>
          <w:lang w:val="en-GB" w:eastAsia="ro-MD"/>
        </w:rPr>
        <w:t>34</w:t>
      </w:r>
      <w:r w:rsidRPr="00301B0F">
        <w:rPr>
          <w:b/>
          <w:bCs/>
          <w:color w:val="000000" w:themeColor="text1"/>
          <w:vertAlign w:val="superscript"/>
          <w:lang w:val="en-GB" w:eastAsia="ro-MD"/>
        </w:rPr>
        <w:t>6</w:t>
      </w:r>
      <w:r w:rsidRPr="00301B0F">
        <w:rPr>
          <w:b/>
          <w:bCs/>
          <w:color w:val="000000" w:themeColor="text1"/>
          <w:lang w:val="en-GB" w:eastAsia="ro-MD"/>
        </w:rPr>
        <w:t>.</w:t>
      </w:r>
      <w:r w:rsidRPr="00301B0F">
        <w:rPr>
          <w:color w:val="000000" w:themeColor="text1"/>
          <w:lang w:val="en-GB" w:eastAsia="ro-MD"/>
        </w:rPr>
        <w:t xml:space="preserve"> </w:t>
      </w:r>
      <w:r w:rsidR="00261B66" w:rsidRPr="00301B0F">
        <w:rPr>
          <w:color w:val="000000" w:themeColor="text1"/>
          <w:lang w:val="en-GB" w:eastAsia="ro-MD"/>
        </w:rPr>
        <w:t xml:space="preserve">Banks may derogate from paragraph </w:t>
      </w:r>
      <w:r w:rsidRPr="00301B0F">
        <w:rPr>
          <w:color w:val="000000" w:themeColor="text1"/>
          <w:lang w:val="en-GB" w:eastAsia="ro-MD"/>
        </w:rPr>
        <w:t>34</w:t>
      </w:r>
      <w:r w:rsidRPr="00301B0F">
        <w:rPr>
          <w:color w:val="000000" w:themeColor="text1"/>
          <w:vertAlign w:val="superscript"/>
          <w:lang w:val="en-GB" w:eastAsia="ro-MD"/>
        </w:rPr>
        <w:t>2</w:t>
      </w:r>
      <w:r w:rsidRPr="00301B0F">
        <w:rPr>
          <w:color w:val="000000" w:themeColor="text1"/>
          <w:lang w:val="en-GB" w:eastAsia="ro-MD"/>
        </w:rPr>
        <w:t xml:space="preserve"> sub</w:t>
      </w:r>
      <w:r w:rsidR="00261B66" w:rsidRPr="00301B0F">
        <w:rPr>
          <w:color w:val="000000" w:themeColor="text1"/>
          <w:lang w:val="en-GB" w:eastAsia="ro-MD"/>
        </w:rPr>
        <w:t>-paragraph</w:t>
      </w:r>
      <w:r w:rsidRPr="00301B0F">
        <w:rPr>
          <w:color w:val="000000" w:themeColor="text1"/>
          <w:lang w:val="en-GB" w:eastAsia="ro-MD"/>
        </w:rPr>
        <w:t xml:space="preserve"> 2) </w:t>
      </w:r>
      <w:r w:rsidR="00261B66" w:rsidRPr="00301B0F">
        <w:rPr>
          <w:color w:val="000000" w:themeColor="text1"/>
          <w:lang w:val="en-GB" w:eastAsia="ro-MD"/>
        </w:rPr>
        <w:t xml:space="preserve">for exposures secured by commercial immovable property located in the territory of the Republic of Moldova, if the National Bank of Moldova, for the purposes of paragraphs </w:t>
      </w:r>
      <w:r w:rsidR="00B12F85" w:rsidRPr="00301B0F">
        <w:rPr>
          <w:color w:val="000000" w:themeColor="text1"/>
          <w:lang w:val="en-GB" w:eastAsia="ro-MD"/>
        </w:rPr>
        <w:t>68</w:t>
      </w:r>
      <w:r w:rsidR="00B12F85" w:rsidRPr="00301B0F">
        <w:rPr>
          <w:color w:val="000000" w:themeColor="text1"/>
          <w:vertAlign w:val="superscript"/>
          <w:lang w:val="en-GB" w:eastAsia="ro-MD"/>
        </w:rPr>
        <w:t>4</w:t>
      </w:r>
      <w:r w:rsidR="00B12F85" w:rsidRPr="00301B0F">
        <w:rPr>
          <w:color w:val="000000" w:themeColor="text1"/>
          <w:lang w:val="en-GB" w:eastAsia="ro-MD"/>
        </w:rPr>
        <w:t>-68</w:t>
      </w:r>
      <w:r w:rsidR="00B12F85" w:rsidRPr="00301B0F">
        <w:rPr>
          <w:color w:val="000000" w:themeColor="text1"/>
          <w:vertAlign w:val="superscript"/>
          <w:lang w:val="en-GB" w:eastAsia="ro-MD"/>
        </w:rPr>
        <w:t>8</w:t>
      </w:r>
      <w:r w:rsidR="00B12F85" w:rsidRPr="00301B0F">
        <w:rPr>
          <w:color w:val="000000" w:themeColor="text1"/>
          <w:lang w:val="en-GB" w:eastAsia="ro-MD"/>
        </w:rPr>
        <w:t xml:space="preserve"> </w:t>
      </w:r>
      <w:r w:rsidR="00261B66" w:rsidRPr="00301B0F">
        <w:rPr>
          <w:color w:val="000000" w:themeColor="text1"/>
          <w:lang w:val="en-GB" w:eastAsia="ro-MD"/>
        </w:rPr>
        <w:t>of Regulation No111/2018, has published evidence indicating the presence of a market for well-developed and long-established commercial immovable property in that territory with loss rates that do not exceed any of the following limits</w:t>
      </w:r>
      <w:r w:rsidRPr="00301B0F">
        <w:rPr>
          <w:color w:val="000000" w:themeColor="text1"/>
          <w:lang w:val="en-GB" w:eastAsia="ro-MD"/>
        </w:rPr>
        <w:t>:</w:t>
      </w:r>
    </w:p>
    <w:p w14:paraId="4DDCBF97" w14:textId="77847C6C"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1) </w:t>
      </w:r>
      <w:r w:rsidR="00261B66" w:rsidRPr="00301B0F">
        <w:rPr>
          <w:color w:val="000000" w:themeColor="text1"/>
          <w:lang w:val="en-GB" w:eastAsia="ro-MD"/>
        </w:rPr>
        <w:t>the ratio between the aggregated values reported by banks under sub-paragraph 4) and sub-paragraph 6), paragraph (1) of Annex No 21 to Regulation No 111/2018 does not exceed 0.3%</w:t>
      </w:r>
    </w:p>
    <w:p w14:paraId="28AEE93C" w14:textId="22FE7CA2"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2) </w:t>
      </w:r>
      <w:r w:rsidR="00261B66" w:rsidRPr="00301B0F">
        <w:rPr>
          <w:color w:val="000000" w:themeColor="text1"/>
          <w:lang w:val="en-GB" w:eastAsia="ro-MD"/>
        </w:rPr>
        <w:t xml:space="preserve">the ratio between the aggregated values reported by banks under sub-paragraphs 5) and 6), sub-paragraph (1) of Annex 21 to Regulation </w:t>
      </w:r>
      <w:r w:rsidR="00473771">
        <w:rPr>
          <w:color w:val="000000" w:themeColor="text1"/>
          <w:lang w:val="en-GB" w:eastAsia="ro-MD"/>
        </w:rPr>
        <w:t>111/2018</w:t>
      </w:r>
      <w:r w:rsidR="00261B66" w:rsidRPr="00301B0F">
        <w:rPr>
          <w:color w:val="000000" w:themeColor="text1"/>
          <w:lang w:val="en-GB" w:eastAsia="ro-MD"/>
        </w:rPr>
        <w:t xml:space="preserve"> does not exceed 0.5%</w:t>
      </w:r>
      <w:r w:rsidRPr="00301B0F">
        <w:rPr>
          <w:color w:val="000000" w:themeColor="text1"/>
          <w:lang w:val="en-GB" w:eastAsia="ro-MD"/>
        </w:rPr>
        <w:t>.</w:t>
      </w:r>
    </w:p>
    <w:p w14:paraId="5936736B" w14:textId="0C42D281" w:rsidR="0011444E" w:rsidRPr="00301B0F" w:rsidRDefault="0011444E" w:rsidP="00930587">
      <w:pPr>
        <w:jc w:val="both"/>
        <w:rPr>
          <w:color w:val="000000" w:themeColor="text1"/>
          <w:lang w:val="en-GB" w:eastAsia="ro-MD"/>
        </w:rPr>
      </w:pPr>
      <w:r w:rsidRPr="00301B0F">
        <w:rPr>
          <w:b/>
          <w:bCs/>
          <w:color w:val="000000" w:themeColor="text1"/>
          <w:lang w:val="en-GB" w:eastAsia="ro-MD"/>
        </w:rPr>
        <w:t>34</w:t>
      </w:r>
      <w:r w:rsidRPr="00301B0F">
        <w:rPr>
          <w:b/>
          <w:bCs/>
          <w:color w:val="000000" w:themeColor="text1"/>
          <w:vertAlign w:val="superscript"/>
          <w:lang w:val="en-GB" w:eastAsia="ro-MD"/>
        </w:rPr>
        <w:t>7</w:t>
      </w:r>
      <w:r w:rsidRPr="00301B0F">
        <w:rPr>
          <w:b/>
          <w:bCs/>
          <w:color w:val="000000" w:themeColor="text1"/>
          <w:lang w:val="en-GB" w:eastAsia="ro-MD"/>
        </w:rPr>
        <w:t>.</w:t>
      </w:r>
      <w:r w:rsidRPr="00301B0F">
        <w:rPr>
          <w:color w:val="000000" w:themeColor="text1"/>
          <w:lang w:val="en-GB" w:eastAsia="ro-MD"/>
        </w:rPr>
        <w:t xml:space="preserve"> </w:t>
      </w:r>
      <w:r w:rsidR="006A57AF" w:rsidRPr="00301B0F">
        <w:rPr>
          <w:color w:val="000000" w:themeColor="text1"/>
          <w:lang w:val="en-GB" w:eastAsia="ro-MD"/>
        </w:rPr>
        <w:t xml:space="preserve">If one of the conditions set out in sub-paragraphs 1) and 2) of </w:t>
      </w:r>
      <w:r w:rsidR="00E63124" w:rsidRPr="00301B0F">
        <w:rPr>
          <w:color w:val="000000" w:themeColor="text1"/>
          <w:lang w:val="en-GB" w:eastAsia="ro-MD"/>
        </w:rPr>
        <w:t>34</w:t>
      </w:r>
      <w:r w:rsidR="00E63124" w:rsidRPr="00301B0F">
        <w:rPr>
          <w:color w:val="000000" w:themeColor="text1"/>
          <w:vertAlign w:val="superscript"/>
          <w:lang w:val="en-GB" w:eastAsia="ro-MD"/>
        </w:rPr>
        <w:t>6</w:t>
      </w:r>
      <w:r w:rsidR="00E63124" w:rsidRPr="00301B0F">
        <w:rPr>
          <w:color w:val="000000" w:themeColor="text1"/>
          <w:lang w:val="en-GB" w:eastAsia="ro-MD"/>
        </w:rPr>
        <w:t xml:space="preserve"> </w:t>
      </w:r>
      <w:r w:rsidR="006A57AF" w:rsidRPr="00301B0F">
        <w:rPr>
          <w:color w:val="000000" w:themeColor="text1"/>
          <w:lang w:val="en-GB" w:eastAsia="ro-MD"/>
        </w:rPr>
        <w:t xml:space="preserve">is not met </w:t>
      </w:r>
      <w:proofErr w:type="gramStart"/>
      <w:r w:rsidR="006A57AF" w:rsidRPr="00301B0F">
        <w:rPr>
          <w:color w:val="000000" w:themeColor="text1"/>
          <w:lang w:val="en-GB" w:eastAsia="ro-MD"/>
        </w:rPr>
        <w:t>in a given year</w:t>
      </w:r>
      <w:proofErr w:type="gramEnd"/>
      <w:r w:rsidR="006A57AF" w:rsidRPr="00301B0F">
        <w:rPr>
          <w:color w:val="000000" w:themeColor="text1"/>
          <w:lang w:val="en-GB" w:eastAsia="ro-MD"/>
        </w:rPr>
        <w:t>, banks shall not apply the treatment specified in that paragraph until both conditions are satisfied in a subsequent year</w:t>
      </w:r>
      <w:r w:rsidRPr="00301B0F">
        <w:rPr>
          <w:color w:val="000000" w:themeColor="text1"/>
          <w:lang w:val="en-GB" w:eastAsia="ro-MD"/>
        </w:rPr>
        <w:t>.</w:t>
      </w:r>
    </w:p>
    <w:p w14:paraId="18F6BACC" w14:textId="596637FB" w:rsidR="0011444E" w:rsidRPr="00301B0F" w:rsidRDefault="0011444E" w:rsidP="00930587">
      <w:pPr>
        <w:jc w:val="both"/>
        <w:rPr>
          <w:color w:val="000000" w:themeColor="text1"/>
          <w:lang w:val="en-GB" w:eastAsia="ro-MD"/>
        </w:rPr>
      </w:pPr>
      <w:r w:rsidRPr="00301B0F">
        <w:rPr>
          <w:b/>
          <w:bCs/>
          <w:color w:val="000000" w:themeColor="text1"/>
          <w:lang w:val="en-GB" w:eastAsia="ro-MD"/>
        </w:rPr>
        <w:t>34</w:t>
      </w:r>
      <w:r w:rsidRPr="00301B0F">
        <w:rPr>
          <w:b/>
          <w:bCs/>
          <w:color w:val="000000" w:themeColor="text1"/>
          <w:vertAlign w:val="superscript"/>
          <w:lang w:val="en-GB" w:eastAsia="ro-MD"/>
        </w:rPr>
        <w:t>8</w:t>
      </w:r>
      <w:r w:rsidRPr="00301B0F">
        <w:rPr>
          <w:b/>
          <w:bCs/>
          <w:color w:val="000000" w:themeColor="text1"/>
          <w:lang w:val="en-GB" w:eastAsia="ro-MD"/>
        </w:rPr>
        <w:t>.</w:t>
      </w:r>
      <w:r w:rsidRPr="00301B0F">
        <w:rPr>
          <w:color w:val="000000" w:themeColor="text1"/>
          <w:lang w:val="en-GB" w:eastAsia="ro-MD"/>
        </w:rPr>
        <w:t xml:space="preserve"> </w:t>
      </w:r>
      <w:r w:rsidR="006A57AF" w:rsidRPr="00301B0F">
        <w:rPr>
          <w:color w:val="000000" w:themeColor="text1"/>
          <w:lang w:val="en-GB" w:eastAsia="ro-MD"/>
        </w:rPr>
        <w:t xml:space="preserve">Banks may also apply the derogations referred to in paragraphs </w:t>
      </w:r>
      <w:r w:rsidRPr="00301B0F">
        <w:rPr>
          <w:color w:val="000000" w:themeColor="text1"/>
          <w:lang w:val="en-GB" w:eastAsia="ro-MD"/>
        </w:rPr>
        <w:t>34</w:t>
      </w:r>
      <w:r w:rsidRPr="00301B0F">
        <w:rPr>
          <w:color w:val="000000" w:themeColor="text1"/>
          <w:vertAlign w:val="superscript"/>
          <w:lang w:val="en-GB" w:eastAsia="ro-MD"/>
        </w:rPr>
        <w:t>4</w:t>
      </w:r>
      <w:r w:rsidRPr="00301B0F">
        <w:rPr>
          <w:color w:val="000000" w:themeColor="text1"/>
          <w:lang w:val="en-GB" w:eastAsia="ro-MD"/>
        </w:rPr>
        <w:t xml:space="preserve"> </w:t>
      </w:r>
      <w:r w:rsidR="006A57AF" w:rsidRPr="00301B0F">
        <w:rPr>
          <w:color w:val="000000" w:themeColor="text1"/>
          <w:lang w:val="en-GB" w:eastAsia="ro-MD"/>
        </w:rPr>
        <w:t xml:space="preserve">and </w:t>
      </w:r>
      <w:r w:rsidRPr="00301B0F">
        <w:rPr>
          <w:color w:val="000000" w:themeColor="text1"/>
          <w:lang w:val="en-GB" w:eastAsia="ro-MD"/>
        </w:rPr>
        <w:t>34</w:t>
      </w:r>
      <w:r w:rsidRPr="00301B0F">
        <w:rPr>
          <w:color w:val="000000" w:themeColor="text1"/>
          <w:vertAlign w:val="superscript"/>
          <w:lang w:val="en-GB" w:eastAsia="ro-MD"/>
        </w:rPr>
        <w:t>6</w:t>
      </w:r>
      <w:r w:rsidRPr="00301B0F">
        <w:rPr>
          <w:color w:val="000000" w:themeColor="text1"/>
          <w:lang w:val="en-GB" w:eastAsia="ro-MD"/>
        </w:rPr>
        <w:t xml:space="preserve"> </w:t>
      </w:r>
      <w:r w:rsidR="006A57AF" w:rsidRPr="00301B0F">
        <w:rPr>
          <w:color w:val="000000" w:themeColor="text1"/>
          <w:lang w:val="en-GB" w:eastAsia="ro-MD"/>
        </w:rPr>
        <w:t xml:space="preserve">in cases where the competent authority of another State applying supervisory and regulatory arrangements at least equivalent to those applied in the Republic of Moldova with regard to banks in accordance with Annex 5 to Regulation No </w:t>
      </w:r>
      <w:r w:rsidR="00473771">
        <w:rPr>
          <w:color w:val="000000" w:themeColor="text1"/>
          <w:lang w:val="en-GB" w:eastAsia="ro-MD"/>
        </w:rPr>
        <w:t>111/2018</w:t>
      </w:r>
      <w:r w:rsidR="006A57AF" w:rsidRPr="00301B0F">
        <w:rPr>
          <w:color w:val="000000" w:themeColor="text1"/>
          <w:lang w:val="en-GB" w:eastAsia="ro-MD"/>
        </w:rPr>
        <w:t xml:space="preserve"> publishes the corresponding loss rates for exposures secured by residential or commercial immovable property located in the territory of that State</w:t>
      </w:r>
      <w:r w:rsidRPr="00301B0F">
        <w:rPr>
          <w:color w:val="000000" w:themeColor="text1"/>
          <w:lang w:val="en-GB" w:eastAsia="ro-MD"/>
        </w:rPr>
        <w:t>.</w:t>
      </w:r>
    </w:p>
    <w:p w14:paraId="4C68DF4D" w14:textId="4FD5F9E6" w:rsidR="0011444E" w:rsidRPr="00301B0F" w:rsidRDefault="0011444E" w:rsidP="00930587">
      <w:pPr>
        <w:jc w:val="both"/>
        <w:rPr>
          <w:color w:val="000000" w:themeColor="text1"/>
          <w:lang w:val="en-GB" w:eastAsia="ro-MD"/>
        </w:rPr>
      </w:pPr>
      <w:r w:rsidRPr="00301B0F">
        <w:rPr>
          <w:b/>
          <w:bCs/>
          <w:color w:val="000000" w:themeColor="text1"/>
          <w:lang w:val="en-GB" w:eastAsia="ro-MD"/>
        </w:rPr>
        <w:t>34</w:t>
      </w:r>
      <w:r w:rsidRPr="00301B0F">
        <w:rPr>
          <w:b/>
          <w:bCs/>
          <w:color w:val="000000" w:themeColor="text1"/>
          <w:vertAlign w:val="superscript"/>
          <w:lang w:val="en-GB" w:eastAsia="ro-MD"/>
        </w:rPr>
        <w:t>9</w:t>
      </w:r>
      <w:r w:rsidRPr="00301B0F">
        <w:rPr>
          <w:b/>
          <w:bCs/>
          <w:color w:val="000000" w:themeColor="text1"/>
          <w:lang w:val="en-GB" w:eastAsia="ro-MD"/>
        </w:rPr>
        <w:t>.</w:t>
      </w:r>
      <w:r w:rsidRPr="00301B0F">
        <w:rPr>
          <w:color w:val="000000" w:themeColor="text1"/>
          <w:lang w:val="en-GB" w:eastAsia="ro-MD"/>
        </w:rPr>
        <w:t xml:space="preserve"> </w:t>
      </w:r>
      <w:r w:rsidR="006A57AF" w:rsidRPr="00301B0F">
        <w:rPr>
          <w:color w:val="000000" w:themeColor="text1"/>
          <w:lang w:val="en-GB" w:eastAsia="ro-MD"/>
        </w:rPr>
        <w:t xml:space="preserve">Banks may use as eligible </w:t>
      </w:r>
      <w:r w:rsidR="00807A00" w:rsidRPr="00301B0F">
        <w:rPr>
          <w:color w:val="000000" w:themeColor="text1"/>
          <w:lang w:val="en-GB" w:eastAsia="ro-MD"/>
        </w:rPr>
        <w:t xml:space="preserve">collateral receivable linked </w:t>
      </w:r>
      <w:r w:rsidR="006A57AF" w:rsidRPr="00301B0F">
        <w:rPr>
          <w:color w:val="000000" w:themeColor="text1"/>
          <w:lang w:val="en-GB" w:eastAsia="ro-MD"/>
        </w:rPr>
        <w:t xml:space="preserve">to a commercial transaction or transactions with an original maturity of one year or less. Eligible </w:t>
      </w:r>
      <w:r w:rsidR="00807A00" w:rsidRPr="00301B0F">
        <w:rPr>
          <w:color w:val="000000" w:themeColor="text1"/>
          <w:lang w:val="en-GB" w:eastAsia="ro-MD"/>
        </w:rPr>
        <w:t>receivables </w:t>
      </w:r>
      <w:r w:rsidR="006A57AF" w:rsidRPr="00301B0F">
        <w:rPr>
          <w:color w:val="000000" w:themeColor="text1"/>
          <w:lang w:val="en-GB" w:eastAsia="ro-MD"/>
        </w:rPr>
        <w:t>do not include claims associated with securitisations, sub-participations or credit derivatives, nor amounts owed by related parties</w:t>
      </w:r>
      <w:r w:rsidRPr="00301B0F">
        <w:rPr>
          <w:color w:val="000000" w:themeColor="text1"/>
          <w:lang w:val="en-GB" w:eastAsia="ro-MD"/>
        </w:rPr>
        <w:t>.</w:t>
      </w:r>
    </w:p>
    <w:p w14:paraId="6E4B79D7" w14:textId="115C10AE" w:rsidR="0011444E" w:rsidRPr="00301B0F" w:rsidRDefault="0011444E" w:rsidP="00930587">
      <w:pPr>
        <w:jc w:val="both"/>
        <w:rPr>
          <w:color w:val="000000" w:themeColor="text1"/>
          <w:sz w:val="18"/>
          <w:szCs w:val="18"/>
          <w:lang w:val="en-GB" w:eastAsia="ro-MD"/>
        </w:rPr>
      </w:pPr>
      <w:r w:rsidRPr="00301B0F">
        <w:rPr>
          <w:b/>
          <w:bCs/>
          <w:color w:val="000000" w:themeColor="text1"/>
          <w:lang w:val="en-GB" w:eastAsia="ro-MD"/>
        </w:rPr>
        <w:t>34</w:t>
      </w:r>
      <w:r w:rsidRPr="00301B0F">
        <w:rPr>
          <w:b/>
          <w:bCs/>
          <w:color w:val="000000" w:themeColor="text1"/>
          <w:vertAlign w:val="superscript"/>
          <w:lang w:val="en-GB" w:eastAsia="ro-MD"/>
        </w:rPr>
        <w:t>10</w:t>
      </w:r>
      <w:r w:rsidRPr="00301B0F">
        <w:rPr>
          <w:b/>
          <w:bCs/>
          <w:color w:val="000000" w:themeColor="text1"/>
          <w:lang w:val="en-GB" w:eastAsia="ro-MD"/>
        </w:rPr>
        <w:t>.</w:t>
      </w:r>
      <w:r w:rsidRPr="00301B0F">
        <w:rPr>
          <w:color w:val="000000" w:themeColor="text1"/>
          <w:lang w:val="en-GB" w:eastAsia="ro-MD"/>
        </w:rPr>
        <w:t xml:space="preserve"> </w:t>
      </w:r>
      <w:r w:rsidR="006A57AF" w:rsidRPr="00301B0F">
        <w:rPr>
          <w:color w:val="000000" w:themeColor="text1"/>
          <w:lang w:val="en-GB" w:eastAsia="ro-MD"/>
        </w:rPr>
        <w:t xml:space="preserve">Where a public development bank issues a promotional loan, for the purpose of promoting the public policy objectives of the central government, regional government or local authority, to another bank or non-banking financial company which is authorised to carry out the activities referred to in Article 14(1)(b) or (c) of Law No 202/2017 and which meets the conditions laid down in point 51 of Regulation No 111/2018, and where that bank or non-banking financial company directly or indirectly transfers that promotional loan to a ultimate obligor and cedes the receivable from the promotional loan as collateral to the public development bank, the public development bank </w:t>
      </w:r>
      <w:r w:rsidR="00807A00" w:rsidRPr="00301B0F">
        <w:rPr>
          <w:color w:val="000000" w:themeColor="text1"/>
          <w:lang w:val="en-GB" w:eastAsia="ro-MD"/>
        </w:rPr>
        <w:t>may use the ceded receivable as eligible collateral, regardless of the original maturity of the ceded receivable</w:t>
      </w:r>
      <w:r w:rsidRPr="00301B0F">
        <w:rPr>
          <w:color w:val="000000" w:themeColor="text1"/>
          <w:lang w:val="en-GB" w:eastAsia="ro-MD"/>
        </w:rPr>
        <w:t>.</w:t>
      </w:r>
    </w:p>
    <w:p w14:paraId="608E2A62" w14:textId="338A42EF" w:rsidR="0011444E" w:rsidRPr="00301B0F" w:rsidRDefault="0011444E" w:rsidP="00930587">
      <w:pPr>
        <w:jc w:val="both"/>
        <w:rPr>
          <w:color w:val="000000" w:themeColor="text1"/>
          <w:lang w:val="en-GB" w:eastAsia="ro-MD"/>
        </w:rPr>
      </w:pPr>
      <w:r w:rsidRPr="00301B0F">
        <w:rPr>
          <w:b/>
          <w:bCs/>
          <w:color w:val="000000" w:themeColor="text1"/>
          <w:lang w:val="en-GB" w:eastAsia="ro-MD"/>
        </w:rPr>
        <w:t>34</w:t>
      </w:r>
      <w:r w:rsidRPr="00301B0F">
        <w:rPr>
          <w:b/>
          <w:bCs/>
          <w:color w:val="000000" w:themeColor="text1"/>
          <w:vertAlign w:val="superscript"/>
          <w:lang w:val="en-GB" w:eastAsia="ro-MD"/>
        </w:rPr>
        <w:t>11</w:t>
      </w:r>
      <w:r w:rsidRPr="00301B0F">
        <w:rPr>
          <w:b/>
          <w:bCs/>
          <w:color w:val="000000" w:themeColor="text1"/>
          <w:lang w:val="en-GB" w:eastAsia="ro-MD"/>
        </w:rPr>
        <w:t>.</w:t>
      </w:r>
      <w:r w:rsidRPr="00301B0F">
        <w:rPr>
          <w:color w:val="000000" w:themeColor="text1"/>
          <w:lang w:val="en-GB" w:eastAsia="ro-MD"/>
        </w:rPr>
        <w:t xml:space="preserve"> </w:t>
      </w:r>
      <w:r w:rsidR="00807A00" w:rsidRPr="00301B0F">
        <w:rPr>
          <w:color w:val="000000" w:themeColor="text1"/>
          <w:lang w:val="en-GB" w:eastAsia="ro-MD"/>
        </w:rPr>
        <w:t xml:space="preserve">For the purposes of paragraph </w:t>
      </w:r>
      <w:r w:rsidRPr="00301B0F">
        <w:rPr>
          <w:color w:val="000000" w:themeColor="text1"/>
          <w:lang w:val="en-GB" w:eastAsia="ro-MD"/>
        </w:rPr>
        <w:t>34</w:t>
      </w:r>
      <w:r w:rsidRPr="00301B0F">
        <w:rPr>
          <w:color w:val="000000" w:themeColor="text1"/>
          <w:vertAlign w:val="superscript"/>
          <w:lang w:val="en-GB" w:eastAsia="ro-MD"/>
        </w:rPr>
        <w:t>10</w:t>
      </w:r>
      <w:r w:rsidRPr="00301B0F">
        <w:rPr>
          <w:color w:val="000000" w:themeColor="text1"/>
          <w:lang w:val="en-GB" w:eastAsia="ro-MD"/>
        </w:rPr>
        <w:t xml:space="preserve">, </w:t>
      </w:r>
      <w:r w:rsidR="00807A00" w:rsidRPr="00301B0F">
        <w:rPr>
          <w:color w:val="000000" w:themeColor="text1"/>
          <w:lang w:val="en-GB" w:eastAsia="ro-MD"/>
        </w:rPr>
        <w:t xml:space="preserve">a public development bank is a bank that meets </w:t>
      </w:r>
      <w:proofErr w:type="gramStart"/>
      <w:r w:rsidR="00807A00" w:rsidRPr="00301B0F">
        <w:rPr>
          <w:color w:val="000000" w:themeColor="text1"/>
          <w:lang w:val="en-GB" w:eastAsia="ro-MD"/>
        </w:rPr>
        <w:t>all of</w:t>
      </w:r>
      <w:proofErr w:type="gramEnd"/>
      <w:r w:rsidR="00807A00" w:rsidRPr="00301B0F">
        <w:rPr>
          <w:color w:val="000000" w:themeColor="text1"/>
          <w:lang w:val="en-GB" w:eastAsia="ro-MD"/>
        </w:rPr>
        <w:t xml:space="preserve"> the following conditions</w:t>
      </w:r>
      <w:r w:rsidRPr="00301B0F">
        <w:rPr>
          <w:color w:val="000000" w:themeColor="text1"/>
          <w:lang w:val="en-GB" w:eastAsia="ro-MD"/>
        </w:rPr>
        <w:t>:</w:t>
      </w:r>
    </w:p>
    <w:p w14:paraId="48FCE66A" w14:textId="2034C3C6"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1) </w:t>
      </w:r>
      <w:r w:rsidR="00807A00" w:rsidRPr="00301B0F">
        <w:rPr>
          <w:color w:val="000000" w:themeColor="text1"/>
          <w:lang w:val="en-GB" w:eastAsia="ro-MD"/>
        </w:rPr>
        <w:t>was established by a central administration, regional administration or local authority of the Republic of Moldova</w:t>
      </w:r>
      <w:r w:rsidRPr="00301B0F">
        <w:rPr>
          <w:color w:val="000000" w:themeColor="text1"/>
          <w:lang w:val="en-GB" w:eastAsia="ro-MD"/>
        </w:rPr>
        <w:t>;</w:t>
      </w:r>
    </w:p>
    <w:p w14:paraId="2920512B" w14:textId="5491A3B7"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2) </w:t>
      </w:r>
      <w:r w:rsidR="00807A00" w:rsidRPr="00301B0F">
        <w:rPr>
          <w:color w:val="000000" w:themeColor="text1"/>
          <w:lang w:val="en-GB" w:eastAsia="ro-MD"/>
        </w:rPr>
        <w:t>its activity is limited to advancing specified objectives of financial, social or economic policy in accordance with the legal framework and provisions governing that bank, including articles of association, on a non-competitive basis. Public policy objectives may include the provision of financing for promotional or development purposes to specified economic sectors or geographical areas of the Republic of Moldova</w:t>
      </w:r>
      <w:r w:rsidRPr="00301B0F">
        <w:rPr>
          <w:color w:val="000000" w:themeColor="text1"/>
          <w:lang w:val="en-GB" w:eastAsia="ro-MD"/>
        </w:rPr>
        <w:t>;</w:t>
      </w:r>
    </w:p>
    <w:p w14:paraId="57D69E3C" w14:textId="57E6F324"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lastRenderedPageBreak/>
        <w:t xml:space="preserve">3) </w:t>
      </w:r>
      <w:r w:rsidR="00807A00" w:rsidRPr="00301B0F">
        <w:rPr>
          <w:color w:val="000000" w:themeColor="text1"/>
          <w:lang w:val="en-GB" w:eastAsia="ro-MD"/>
        </w:rPr>
        <w:t>its goal is not to maximise profit or market share</w:t>
      </w:r>
      <w:r w:rsidRPr="00301B0F">
        <w:rPr>
          <w:color w:val="000000" w:themeColor="text1"/>
          <w:lang w:val="en-GB" w:eastAsia="ro-MD"/>
        </w:rPr>
        <w:t>;</w:t>
      </w:r>
    </w:p>
    <w:p w14:paraId="5F8145CD" w14:textId="239D22BF"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4) </w:t>
      </w:r>
      <w:r w:rsidR="00F85E97" w:rsidRPr="00301B0F">
        <w:rPr>
          <w:color w:val="000000" w:themeColor="text1"/>
          <w:lang w:val="en-GB" w:eastAsia="ro-MD"/>
        </w:rPr>
        <w:t>subject to the applicable State aid rules, the central government, regional government or local authority has an obligation to protect the viability of the bank or guarantees, directly or indirectly, at least 90% of the bank's own funds requirements, funding requirements or promotional loans granted</w:t>
      </w:r>
      <w:r w:rsidRPr="00301B0F">
        <w:rPr>
          <w:color w:val="000000" w:themeColor="text1"/>
          <w:lang w:val="en-GB" w:eastAsia="ro-MD"/>
        </w:rPr>
        <w:t>;</w:t>
      </w:r>
    </w:p>
    <w:p w14:paraId="7D5FB9C9" w14:textId="1581BB71"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5) </w:t>
      </w:r>
      <w:r w:rsidR="00F85E97" w:rsidRPr="00301B0F">
        <w:rPr>
          <w:color w:val="000000" w:themeColor="text1"/>
          <w:lang w:val="en-GB" w:eastAsia="ro-MD"/>
        </w:rPr>
        <w:t xml:space="preserve">it does not </w:t>
      </w:r>
      <w:r w:rsidR="00E32B31" w:rsidRPr="00301B0F">
        <w:rPr>
          <w:color w:val="000000" w:themeColor="text1"/>
          <w:lang w:val="en-GB" w:eastAsia="ro-MD"/>
        </w:rPr>
        <w:t>take covered</w:t>
      </w:r>
      <w:r w:rsidR="00F85E97" w:rsidRPr="00301B0F">
        <w:rPr>
          <w:color w:val="000000" w:themeColor="text1"/>
          <w:lang w:val="en-GB" w:eastAsia="ro-MD"/>
        </w:rPr>
        <w:t xml:space="preserve"> deposits, according to Law No 160/2023 on bank deposit guarantees, which can be classified as </w:t>
      </w:r>
      <w:r w:rsidR="00E32B31" w:rsidRPr="00301B0F">
        <w:rPr>
          <w:color w:val="000000" w:themeColor="text1"/>
          <w:lang w:val="en-GB" w:eastAsia="ro-MD"/>
        </w:rPr>
        <w:t>fixed term</w:t>
      </w:r>
      <w:r w:rsidR="00F85E97" w:rsidRPr="00301B0F">
        <w:rPr>
          <w:color w:val="000000" w:themeColor="text1"/>
          <w:lang w:val="en-GB" w:eastAsia="ro-MD"/>
        </w:rPr>
        <w:t xml:space="preserve"> deposits or savings deposits from consumers</w:t>
      </w:r>
      <w:r w:rsidRPr="00301B0F">
        <w:rPr>
          <w:color w:val="000000" w:themeColor="text1"/>
          <w:lang w:val="en-GB" w:eastAsia="ro-MD"/>
        </w:rPr>
        <w:t>.</w:t>
      </w:r>
      <w:r w:rsidR="00F85E97" w:rsidRPr="00301B0F">
        <w:rPr>
          <w:color w:val="000000" w:themeColor="text1"/>
          <w:lang w:val="en-GB" w:eastAsia="ro-MD"/>
        </w:rPr>
        <w:t xml:space="preserve"> </w:t>
      </w:r>
    </w:p>
    <w:p w14:paraId="5C675EEF" w14:textId="11221B74" w:rsidR="0011444E" w:rsidRPr="00301B0F" w:rsidRDefault="0011444E" w:rsidP="00930587">
      <w:pPr>
        <w:jc w:val="both"/>
        <w:rPr>
          <w:color w:val="000000" w:themeColor="text1"/>
          <w:lang w:val="en-GB" w:eastAsia="ro-MD"/>
        </w:rPr>
      </w:pPr>
      <w:r w:rsidRPr="00301B0F">
        <w:rPr>
          <w:b/>
          <w:bCs/>
          <w:color w:val="000000" w:themeColor="text1"/>
          <w:lang w:val="en-GB" w:eastAsia="ro-MD"/>
        </w:rPr>
        <w:t>34</w:t>
      </w:r>
      <w:r w:rsidRPr="00301B0F">
        <w:rPr>
          <w:b/>
          <w:bCs/>
          <w:color w:val="000000" w:themeColor="text1"/>
          <w:vertAlign w:val="superscript"/>
          <w:lang w:val="en-GB" w:eastAsia="ro-MD"/>
        </w:rPr>
        <w:t>12</w:t>
      </w:r>
      <w:r w:rsidRPr="00301B0F">
        <w:rPr>
          <w:b/>
          <w:bCs/>
          <w:color w:val="000000" w:themeColor="text1"/>
          <w:lang w:val="en-GB" w:eastAsia="ro-MD"/>
        </w:rPr>
        <w:t>.</w:t>
      </w:r>
      <w:r w:rsidRPr="00301B0F">
        <w:rPr>
          <w:color w:val="000000" w:themeColor="text1"/>
          <w:lang w:val="en-GB" w:eastAsia="ro-MD"/>
        </w:rPr>
        <w:t xml:space="preserve"> </w:t>
      </w:r>
      <w:r w:rsidR="00E32B31" w:rsidRPr="00301B0F">
        <w:rPr>
          <w:color w:val="000000" w:themeColor="text1"/>
          <w:lang w:val="en-GB" w:eastAsia="ro-MD"/>
        </w:rPr>
        <w:t xml:space="preserve">Banks may use as eligible collateral physical collateral of a type other than those indicated in paragraphs </w:t>
      </w:r>
      <w:r w:rsidRPr="00301B0F">
        <w:rPr>
          <w:color w:val="000000" w:themeColor="text1"/>
          <w:lang w:val="en-GB" w:eastAsia="ro-MD"/>
        </w:rPr>
        <w:t>34</w:t>
      </w:r>
      <w:r w:rsidRPr="00301B0F">
        <w:rPr>
          <w:color w:val="000000" w:themeColor="text1"/>
          <w:vertAlign w:val="superscript"/>
          <w:lang w:val="en-GB" w:eastAsia="ro-MD"/>
        </w:rPr>
        <w:t>3</w:t>
      </w:r>
      <w:r w:rsidRPr="00301B0F">
        <w:rPr>
          <w:color w:val="000000" w:themeColor="text1"/>
          <w:lang w:val="en-GB" w:eastAsia="ro-MD"/>
        </w:rPr>
        <w:t>-34</w:t>
      </w:r>
      <w:r w:rsidRPr="00301B0F">
        <w:rPr>
          <w:color w:val="000000" w:themeColor="text1"/>
          <w:vertAlign w:val="superscript"/>
          <w:lang w:val="en-GB" w:eastAsia="ro-MD"/>
        </w:rPr>
        <w:t>7</w:t>
      </w:r>
      <w:r w:rsidRPr="00301B0F">
        <w:rPr>
          <w:color w:val="000000" w:themeColor="text1"/>
          <w:lang w:val="en-GB" w:eastAsia="ro-MD"/>
        </w:rPr>
        <w:t xml:space="preserve">, </w:t>
      </w:r>
      <w:proofErr w:type="gramStart"/>
      <w:r w:rsidR="00E32B31" w:rsidRPr="00301B0F">
        <w:rPr>
          <w:color w:val="000000" w:themeColor="text1"/>
          <w:lang w:val="en-GB" w:eastAsia="ro-MD"/>
        </w:rPr>
        <w:t>provided that</w:t>
      </w:r>
      <w:proofErr w:type="gramEnd"/>
      <w:r w:rsidR="00E32B31" w:rsidRPr="00301B0F">
        <w:rPr>
          <w:color w:val="000000" w:themeColor="text1"/>
          <w:lang w:val="en-GB" w:eastAsia="ro-MD"/>
        </w:rPr>
        <w:t xml:space="preserve"> all of the following conditions are met</w:t>
      </w:r>
      <w:r w:rsidRPr="00301B0F">
        <w:rPr>
          <w:color w:val="000000" w:themeColor="text1"/>
          <w:lang w:val="en-GB" w:eastAsia="ro-MD"/>
        </w:rPr>
        <w:t>:</w:t>
      </w:r>
    </w:p>
    <w:p w14:paraId="04B1EE0A" w14:textId="6D29916E"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1) </w:t>
      </w:r>
      <w:r w:rsidR="00E32B31" w:rsidRPr="00301B0F">
        <w:rPr>
          <w:color w:val="000000" w:themeColor="text1"/>
          <w:lang w:val="en-GB" w:eastAsia="ro-MD"/>
        </w:rPr>
        <w:t xml:space="preserve">there are liquid markets, evidenced by frequent transactions </w:t>
      </w:r>
      <w:proofErr w:type="gramStart"/>
      <w:r w:rsidR="00E32B31" w:rsidRPr="00301B0F">
        <w:rPr>
          <w:color w:val="000000" w:themeColor="text1"/>
          <w:lang w:val="en-GB" w:eastAsia="ro-MD"/>
        </w:rPr>
        <w:t>taking into account</w:t>
      </w:r>
      <w:proofErr w:type="gramEnd"/>
      <w:r w:rsidR="00E32B31" w:rsidRPr="00301B0F">
        <w:rPr>
          <w:color w:val="000000" w:themeColor="text1"/>
          <w:lang w:val="en-GB" w:eastAsia="ro-MD"/>
        </w:rPr>
        <w:t xml:space="preserve"> the asset type, for the disposal of the collateral in an expeditious and economically efficient manner. Banks shall carry out the assessment of this condition periodically and where information indicates material changes in the market</w:t>
      </w:r>
      <w:r w:rsidRPr="00301B0F">
        <w:rPr>
          <w:color w:val="000000" w:themeColor="text1"/>
          <w:lang w:val="en-GB" w:eastAsia="ro-MD"/>
        </w:rPr>
        <w:t>;</w:t>
      </w:r>
    </w:p>
    <w:p w14:paraId="3905A8BC" w14:textId="35FF0839"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2) </w:t>
      </w:r>
      <w:r w:rsidR="00E32B31" w:rsidRPr="00301B0F">
        <w:rPr>
          <w:color w:val="000000" w:themeColor="text1"/>
          <w:lang w:val="en-GB" w:eastAsia="ro-MD"/>
        </w:rPr>
        <w:t>there are well-established, publicly available market prices for the collateral. Banks may consider market prices as well-established where they come from reliable sources of information such as public indices and reflect the price of the transactions under normal conditions. Banks may consider market prices as publicly available, where these prices are disclosed, easily accessible, and obtainable regularly and without any undue administrative or financial burden</w:t>
      </w:r>
      <w:r w:rsidRPr="00301B0F">
        <w:rPr>
          <w:color w:val="000000" w:themeColor="text1"/>
          <w:lang w:val="en-GB" w:eastAsia="ro-MD"/>
        </w:rPr>
        <w:t>;</w:t>
      </w:r>
    </w:p>
    <w:p w14:paraId="2927097E" w14:textId="6E271A51" w:rsidR="0011444E" w:rsidRPr="00301B0F" w:rsidRDefault="0011444E" w:rsidP="0011444E">
      <w:pPr>
        <w:tabs>
          <w:tab w:val="left" w:pos="840"/>
        </w:tabs>
        <w:ind w:firstLine="567"/>
        <w:jc w:val="both"/>
        <w:rPr>
          <w:color w:val="000000" w:themeColor="text1"/>
          <w:lang w:val="en-GB" w:eastAsia="ro-MD"/>
        </w:rPr>
      </w:pPr>
      <w:r w:rsidRPr="00301B0F">
        <w:rPr>
          <w:color w:val="000000" w:themeColor="text1"/>
          <w:lang w:val="en-GB" w:eastAsia="ro-MD"/>
        </w:rPr>
        <w:t xml:space="preserve">3) </w:t>
      </w:r>
      <w:r w:rsidR="00E32B31" w:rsidRPr="00301B0F">
        <w:rPr>
          <w:color w:val="000000" w:themeColor="text1"/>
          <w:lang w:val="en-GB" w:eastAsia="ro-MD"/>
        </w:rPr>
        <w:t>the bank analyses the market prices, time and costs required to realise the collateral and the realised proceeds from the collateral</w:t>
      </w:r>
      <w:r w:rsidRPr="00301B0F">
        <w:rPr>
          <w:color w:val="000000" w:themeColor="text1"/>
          <w:lang w:val="en-GB" w:eastAsia="ro-MD"/>
        </w:rPr>
        <w:t>;</w:t>
      </w:r>
    </w:p>
    <w:p w14:paraId="59A3EE67" w14:textId="040B6A8E" w:rsidR="0011444E" w:rsidRPr="00301B0F" w:rsidRDefault="0011444E" w:rsidP="0011444E">
      <w:pPr>
        <w:ind w:firstLine="567"/>
        <w:jc w:val="both"/>
        <w:rPr>
          <w:color w:val="000000" w:themeColor="text1"/>
          <w:lang w:val="en-GB" w:eastAsia="ro-MD"/>
        </w:rPr>
      </w:pPr>
      <w:r w:rsidRPr="00301B0F">
        <w:rPr>
          <w:color w:val="000000" w:themeColor="text1"/>
          <w:lang w:val="en-GB" w:eastAsia="ro-MD"/>
        </w:rPr>
        <w:t xml:space="preserve">4) </w:t>
      </w:r>
      <w:r w:rsidR="00E32B31" w:rsidRPr="00301B0F">
        <w:rPr>
          <w:color w:val="000000" w:themeColor="text1"/>
          <w:lang w:val="en-GB" w:eastAsia="ro-MD"/>
        </w:rPr>
        <w:t>the bank demonstrates that in at least 90% of all liquidations for a given type of collateral the realised proceeds from the collateral are not below 70% of the collateral value; where there is material volatility in the market prices, the bank shall demonstrate to the satisfaction of the National Bank of Moldova that its valuation of the collateral is sufficiently conservative</w:t>
      </w:r>
      <w:r w:rsidRPr="00301B0F">
        <w:rPr>
          <w:color w:val="000000" w:themeColor="text1"/>
          <w:lang w:val="en-GB" w:eastAsia="ro-MD"/>
        </w:rPr>
        <w:t>.</w:t>
      </w:r>
    </w:p>
    <w:p w14:paraId="00FDD823" w14:textId="5D5ED34B" w:rsidR="0011444E" w:rsidRPr="00301B0F" w:rsidRDefault="0011444E" w:rsidP="00930587">
      <w:pPr>
        <w:jc w:val="both"/>
        <w:rPr>
          <w:color w:val="000000" w:themeColor="text1"/>
          <w:lang w:val="en-GB" w:eastAsia="ro-MD"/>
        </w:rPr>
      </w:pPr>
      <w:r w:rsidRPr="00301B0F">
        <w:rPr>
          <w:b/>
          <w:bCs/>
          <w:color w:val="000000" w:themeColor="text1"/>
          <w:lang w:val="en-GB" w:eastAsia="ro-MD"/>
        </w:rPr>
        <w:t>34</w:t>
      </w:r>
      <w:r w:rsidRPr="00301B0F">
        <w:rPr>
          <w:b/>
          <w:bCs/>
          <w:color w:val="000000" w:themeColor="text1"/>
          <w:vertAlign w:val="superscript"/>
          <w:lang w:val="en-GB" w:eastAsia="ro-MD"/>
        </w:rPr>
        <w:t>13</w:t>
      </w:r>
      <w:r w:rsidRPr="00301B0F">
        <w:rPr>
          <w:b/>
          <w:bCs/>
          <w:color w:val="000000" w:themeColor="text1"/>
          <w:lang w:val="en-GB" w:eastAsia="ro-MD"/>
        </w:rPr>
        <w:t>.</w:t>
      </w:r>
      <w:r w:rsidRPr="00301B0F">
        <w:rPr>
          <w:color w:val="000000" w:themeColor="text1"/>
          <w:lang w:val="en-GB" w:eastAsia="ro-MD"/>
        </w:rPr>
        <w:t xml:space="preserve"> </w:t>
      </w:r>
      <w:r w:rsidR="00E32B31" w:rsidRPr="00301B0F">
        <w:rPr>
          <w:color w:val="000000" w:themeColor="text1"/>
          <w:lang w:val="en-GB" w:eastAsia="ro-MD"/>
        </w:rPr>
        <w:t xml:space="preserve">Banks shall document that the conditions specified in paragraph </w:t>
      </w:r>
      <w:r w:rsidRPr="00301B0F">
        <w:rPr>
          <w:color w:val="000000" w:themeColor="text1"/>
          <w:lang w:val="en-GB" w:eastAsia="ro-MD"/>
        </w:rPr>
        <w:t>34</w:t>
      </w:r>
      <w:r w:rsidRPr="00301B0F">
        <w:rPr>
          <w:color w:val="000000" w:themeColor="text1"/>
          <w:vertAlign w:val="superscript"/>
          <w:lang w:val="en-GB" w:eastAsia="ro-MD"/>
        </w:rPr>
        <w:t>12</w:t>
      </w:r>
      <w:r w:rsidRPr="00301B0F">
        <w:rPr>
          <w:color w:val="000000" w:themeColor="text1"/>
          <w:lang w:val="en-GB" w:eastAsia="ro-MD"/>
        </w:rPr>
        <w:t xml:space="preserve"> </w:t>
      </w:r>
      <w:r w:rsidR="00E32B31" w:rsidRPr="00301B0F">
        <w:rPr>
          <w:color w:val="000000" w:themeColor="text1"/>
          <w:lang w:val="en-GB" w:eastAsia="ro-MD"/>
        </w:rPr>
        <w:t xml:space="preserve">and paragraphs </w:t>
      </w:r>
      <w:r w:rsidRPr="00301B0F">
        <w:rPr>
          <w:color w:val="000000" w:themeColor="text1"/>
          <w:lang w:val="en-GB" w:eastAsia="ro-MD"/>
        </w:rPr>
        <w:t>5</w:t>
      </w:r>
      <w:r w:rsidR="00A669CB" w:rsidRPr="00301B0F">
        <w:rPr>
          <w:color w:val="000000" w:themeColor="text1"/>
          <w:lang w:val="en-GB" w:eastAsia="ro-MD"/>
        </w:rPr>
        <w:t>0</w:t>
      </w:r>
      <w:r w:rsidRPr="00301B0F">
        <w:rPr>
          <w:color w:val="000000" w:themeColor="text1"/>
          <w:vertAlign w:val="superscript"/>
          <w:lang w:val="en-GB" w:eastAsia="ro-MD"/>
        </w:rPr>
        <w:t>5</w:t>
      </w:r>
      <w:r w:rsidRPr="00301B0F">
        <w:rPr>
          <w:color w:val="000000" w:themeColor="text1"/>
          <w:lang w:val="en-GB" w:eastAsia="ro-MD"/>
        </w:rPr>
        <w:t>-5</w:t>
      </w:r>
      <w:r w:rsidR="00A669CB" w:rsidRPr="00301B0F">
        <w:rPr>
          <w:color w:val="000000" w:themeColor="text1"/>
          <w:lang w:val="en-GB" w:eastAsia="ro-MD"/>
        </w:rPr>
        <w:t>0</w:t>
      </w:r>
      <w:r w:rsidRPr="00301B0F">
        <w:rPr>
          <w:color w:val="000000" w:themeColor="text1"/>
          <w:vertAlign w:val="superscript"/>
          <w:lang w:val="en-GB" w:eastAsia="ro-MD"/>
        </w:rPr>
        <w:t>6</w:t>
      </w:r>
      <w:r w:rsidRPr="00301B0F">
        <w:rPr>
          <w:color w:val="000000" w:themeColor="text1"/>
          <w:lang w:val="en-GB" w:eastAsia="ro-MD"/>
        </w:rPr>
        <w:t>.</w:t>
      </w:r>
    </w:p>
    <w:p w14:paraId="5647BD69" w14:textId="0EE1BF3D" w:rsidR="001221A2" w:rsidRPr="00301B0F" w:rsidRDefault="0011444E" w:rsidP="0011444E">
      <w:pPr>
        <w:tabs>
          <w:tab w:val="left" w:pos="567"/>
        </w:tabs>
        <w:spacing w:before="80"/>
        <w:jc w:val="both"/>
        <w:rPr>
          <w:color w:val="000000" w:themeColor="text1"/>
          <w:lang w:val="en-GB"/>
        </w:rPr>
      </w:pPr>
      <w:r w:rsidRPr="00301B0F">
        <w:rPr>
          <w:b/>
          <w:bCs/>
          <w:color w:val="000000" w:themeColor="text1"/>
          <w:lang w:val="en-GB" w:eastAsia="ro-MD"/>
        </w:rPr>
        <w:t>34</w:t>
      </w:r>
      <w:r w:rsidRPr="00301B0F">
        <w:rPr>
          <w:b/>
          <w:bCs/>
          <w:color w:val="000000" w:themeColor="text1"/>
          <w:vertAlign w:val="superscript"/>
          <w:lang w:val="en-GB" w:eastAsia="ro-MD"/>
        </w:rPr>
        <w:t>14</w:t>
      </w:r>
      <w:r w:rsidRPr="00301B0F">
        <w:rPr>
          <w:b/>
          <w:bCs/>
          <w:color w:val="000000" w:themeColor="text1"/>
          <w:lang w:val="en-GB" w:eastAsia="ro-MD"/>
        </w:rPr>
        <w:t>.</w:t>
      </w:r>
      <w:r w:rsidRPr="00301B0F">
        <w:rPr>
          <w:color w:val="000000" w:themeColor="text1"/>
          <w:lang w:val="en-GB" w:eastAsia="ro-MD"/>
        </w:rPr>
        <w:t xml:space="preserve"> </w:t>
      </w:r>
      <w:r w:rsidR="00E32B31" w:rsidRPr="00301B0F">
        <w:rPr>
          <w:color w:val="000000" w:themeColor="text1"/>
          <w:lang w:val="en-GB" w:eastAsia="ro-MD"/>
        </w:rPr>
        <w:t xml:space="preserve">Subject to paragraph </w:t>
      </w:r>
      <w:r w:rsidRPr="00301B0F">
        <w:rPr>
          <w:color w:val="000000" w:themeColor="text1"/>
          <w:lang w:val="en-GB" w:eastAsia="ro-MD"/>
        </w:rPr>
        <w:t>107</w:t>
      </w:r>
      <w:r w:rsidRPr="00301B0F">
        <w:rPr>
          <w:color w:val="000000" w:themeColor="text1"/>
          <w:vertAlign w:val="superscript"/>
          <w:lang w:val="en-GB" w:eastAsia="ro-MD"/>
        </w:rPr>
        <w:t>7</w:t>
      </w:r>
      <w:r w:rsidRPr="00301B0F">
        <w:rPr>
          <w:color w:val="000000" w:themeColor="text1"/>
          <w:lang w:val="en-GB" w:eastAsia="ro-MD"/>
        </w:rPr>
        <w:t xml:space="preserve">, </w:t>
      </w:r>
      <w:r w:rsidR="00E32B31" w:rsidRPr="00301B0F">
        <w:rPr>
          <w:color w:val="000000" w:themeColor="text1"/>
          <w:lang w:val="en-GB" w:eastAsia="ro-MD"/>
        </w:rPr>
        <w:t xml:space="preserve">if the requirements of paragraph </w:t>
      </w:r>
      <w:r w:rsidRPr="00301B0F">
        <w:rPr>
          <w:color w:val="000000" w:themeColor="text1"/>
          <w:lang w:val="en-GB" w:eastAsia="ro-MD"/>
        </w:rPr>
        <w:t>5</w:t>
      </w:r>
      <w:r w:rsidR="00B334C6" w:rsidRPr="00301B0F">
        <w:rPr>
          <w:color w:val="000000" w:themeColor="text1"/>
          <w:lang w:val="en-GB" w:eastAsia="ro-MD"/>
        </w:rPr>
        <w:t>0</w:t>
      </w:r>
      <w:r w:rsidRPr="00301B0F">
        <w:rPr>
          <w:color w:val="000000" w:themeColor="text1"/>
          <w:vertAlign w:val="superscript"/>
          <w:lang w:val="en-GB" w:eastAsia="ro-MD"/>
        </w:rPr>
        <w:t>7</w:t>
      </w:r>
      <w:r w:rsidRPr="00301B0F">
        <w:rPr>
          <w:color w:val="000000" w:themeColor="text1"/>
          <w:lang w:val="en-GB" w:eastAsia="ro-MD"/>
        </w:rPr>
        <w:t xml:space="preserve"> </w:t>
      </w:r>
      <w:r w:rsidR="00E32B31" w:rsidRPr="00301B0F">
        <w:rPr>
          <w:color w:val="000000" w:themeColor="text1"/>
          <w:lang w:val="en-GB" w:eastAsia="ro-MD"/>
        </w:rPr>
        <w:t>are met</w:t>
      </w:r>
      <w:r w:rsidRPr="00301B0F">
        <w:rPr>
          <w:color w:val="000000" w:themeColor="text1"/>
          <w:lang w:val="en-GB" w:eastAsia="ro-MD"/>
        </w:rPr>
        <w:t xml:space="preserve">, </w:t>
      </w:r>
      <w:r w:rsidR="00E32B31" w:rsidRPr="00301B0F">
        <w:rPr>
          <w:color w:val="000000" w:themeColor="text1"/>
          <w:lang w:val="en-GB" w:eastAsia="ro-MD"/>
        </w:rPr>
        <w:t>exposures arising from leasing transactions whereby a bank leases property to a third party may be treated in the same way as loans collateralised by the type of property leased</w:t>
      </w:r>
      <w:r w:rsidRPr="00301B0F">
        <w:rPr>
          <w:color w:val="000000" w:themeColor="text1"/>
          <w:lang w:val="en-GB" w:eastAsia="ro-MD"/>
        </w:rPr>
        <w:t>.”.</w:t>
      </w:r>
    </w:p>
    <w:p w14:paraId="66D13EFA" w14:textId="18E35733" w:rsidR="002337D1" w:rsidRPr="00301B0F" w:rsidRDefault="00E32B31"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w:t>
      </w:r>
      <w:r w:rsidR="002337D1" w:rsidRPr="00301B0F">
        <w:rPr>
          <w:color w:val="000000" w:themeColor="text1"/>
          <w:lang w:val="en-GB"/>
        </w:rPr>
        <w:t xml:space="preserve"> </w:t>
      </w:r>
      <w:r w:rsidR="00E8743D" w:rsidRPr="00301B0F">
        <w:rPr>
          <w:color w:val="000000" w:themeColor="text1"/>
          <w:lang w:val="en-GB"/>
        </w:rPr>
        <w:t>3</w:t>
      </w:r>
      <w:r w:rsidR="002337D1" w:rsidRPr="00301B0F">
        <w:rPr>
          <w:color w:val="000000" w:themeColor="text1"/>
          <w:lang w:val="en-GB"/>
        </w:rPr>
        <w:t>5:</w:t>
      </w:r>
    </w:p>
    <w:p w14:paraId="79441E35" w14:textId="7B86081C" w:rsidR="00F9105A" w:rsidRPr="00301B0F" w:rsidRDefault="00623D29" w:rsidP="00E8743D">
      <w:pPr>
        <w:pStyle w:val="ListParagraph"/>
        <w:numPr>
          <w:ilvl w:val="2"/>
          <w:numId w:val="27"/>
        </w:numPr>
        <w:tabs>
          <w:tab w:val="left" w:pos="567"/>
        </w:tabs>
        <w:ind w:left="0" w:firstLine="567"/>
        <w:jc w:val="both"/>
        <w:rPr>
          <w:color w:val="000000" w:themeColor="text1"/>
          <w:lang w:val="en-GB"/>
        </w:rPr>
      </w:pPr>
      <w:r w:rsidRPr="00301B0F">
        <w:rPr>
          <w:color w:val="000000" w:themeColor="text1"/>
          <w:lang w:val="en-GB"/>
        </w:rPr>
        <w:t xml:space="preserve">in sub-paragraph </w:t>
      </w:r>
      <w:r w:rsidR="0055372C" w:rsidRPr="00301B0F">
        <w:rPr>
          <w:color w:val="000000" w:themeColor="text1"/>
          <w:lang w:val="en-GB"/>
        </w:rPr>
        <w:t>1)</w:t>
      </w:r>
      <w:r w:rsidR="0042197B" w:rsidRPr="00301B0F">
        <w:rPr>
          <w:color w:val="000000" w:themeColor="text1"/>
          <w:lang w:val="en-GB"/>
        </w:rPr>
        <w:t xml:space="preserve"> </w:t>
      </w:r>
      <w:r w:rsidRPr="00301B0F">
        <w:rPr>
          <w:color w:val="000000" w:themeColor="text1"/>
          <w:lang w:val="en-GB"/>
        </w:rPr>
        <w:t>the words “which, individually or in the group of which they are part, have a credit assessment by an ECAI, which the National Bank of Moldova has determined to be associated with the credit quality step 3 or above, in accordance with the rules for the risk weighting of exposures to banks or short-term exposures, as set out in the Regulation No 111/2018” shall be excluded</w:t>
      </w:r>
      <w:r w:rsidR="002337D1" w:rsidRPr="00301B0F">
        <w:rPr>
          <w:color w:val="000000" w:themeColor="text1"/>
          <w:lang w:val="en-GB"/>
        </w:rPr>
        <w:t>;</w:t>
      </w:r>
    </w:p>
    <w:p w14:paraId="0C13A200" w14:textId="79115429" w:rsidR="0042197B" w:rsidRPr="00301B0F" w:rsidRDefault="00623D29" w:rsidP="00E8743D">
      <w:pPr>
        <w:pStyle w:val="ListParagraph"/>
        <w:numPr>
          <w:ilvl w:val="2"/>
          <w:numId w:val="27"/>
        </w:numPr>
        <w:tabs>
          <w:tab w:val="left" w:pos="567"/>
        </w:tabs>
        <w:ind w:left="0" w:firstLine="567"/>
        <w:jc w:val="both"/>
        <w:rPr>
          <w:color w:val="000000" w:themeColor="text1"/>
          <w:lang w:val="en-GB"/>
        </w:rPr>
      </w:pPr>
      <w:r w:rsidRPr="00301B0F">
        <w:rPr>
          <w:color w:val="000000" w:themeColor="text1"/>
          <w:lang w:val="en-GB"/>
        </w:rPr>
        <w:t>in sub-paragraph 2) the words “having a credit assessment by an ECAI, which the National Bank of Moldova has determined to be associated with the credit quality step 3 or above in accordance with the rules for the risk weighting of exposures to banks or short-term exposures, as set out in the Regulation No 111/2018” are excluded</w:t>
      </w:r>
      <w:r w:rsidR="0042197B" w:rsidRPr="00301B0F">
        <w:rPr>
          <w:color w:val="000000" w:themeColor="text1"/>
          <w:lang w:val="en-GB"/>
        </w:rPr>
        <w:t>;</w:t>
      </w:r>
    </w:p>
    <w:p w14:paraId="59F7726A" w14:textId="54918C54" w:rsidR="0042197B" w:rsidRPr="00301B0F" w:rsidRDefault="00623D29" w:rsidP="00E8743D">
      <w:pPr>
        <w:pStyle w:val="ListParagraph"/>
        <w:numPr>
          <w:ilvl w:val="2"/>
          <w:numId w:val="27"/>
        </w:numPr>
        <w:tabs>
          <w:tab w:val="left" w:pos="567"/>
        </w:tabs>
        <w:ind w:left="0" w:firstLine="567"/>
        <w:jc w:val="both"/>
        <w:rPr>
          <w:color w:val="000000" w:themeColor="text1"/>
          <w:lang w:val="en-GB"/>
        </w:rPr>
      </w:pPr>
      <w:r w:rsidRPr="00301B0F">
        <w:rPr>
          <w:color w:val="000000" w:themeColor="text1"/>
          <w:lang w:val="en-GB"/>
        </w:rPr>
        <w:t>sub-paragraph 3) shall be added with the following content</w:t>
      </w:r>
      <w:r w:rsidR="0042197B" w:rsidRPr="00301B0F">
        <w:rPr>
          <w:color w:val="000000" w:themeColor="text1"/>
          <w:lang w:val="en-GB"/>
        </w:rPr>
        <w:t>:</w:t>
      </w:r>
    </w:p>
    <w:p w14:paraId="1013426D" w14:textId="20A28059" w:rsidR="002337D1" w:rsidRPr="00301B0F" w:rsidRDefault="00623D29" w:rsidP="0042197B">
      <w:pPr>
        <w:tabs>
          <w:tab w:val="left" w:pos="567"/>
        </w:tabs>
        <w:jc w:val="both"/>
        <w:rPr>
          <w:color w:val="000000" w:themeColor="text1"/>
          <w:lang w:val="en-GB"/>
        </w:rPr>
      </w:pPr>
      <w:r w:rsidRPr="00301B0F">
        <w:rPr>
          <w:color w:val="000000" w:themeColor="text1"/>
          <w:lang w:val="en-GB"/>
        </w:rPr>
        <w:t>“</w:t>
      </w:r>
      <w:r w:rsidR="0042197B" w:rsidRPr="00301B0F">
        <w:rPr>
          <w:color w:val="000000" w:themeColor="text1"/>
          <w:lang w:val="en-GB"/>
        </w:rPr>
        <w:t xml:space="preserve">3) </w:t>
      </w:r>
      <w:r w:rsidRPr="00301B0F">
        <w:rPr>
          <w:color w:val="000000" w:themeColor="text1"/>
          <w:lang w:val="en-GB"/>
        </w:rPr>
        <w:t>life insurance policies pledged to the lending bank</w:t>
      </w:r>
      <w:r w:rsidR="002337D1" w:rsidRPr="00301B0F">
        <w:rPr>
          <w:color w:val="000000" w:themeColor="text1"/>
          <w:lang w:val="en-GB"/>
        </w:rPr>
        <w:t>.</w:t>
      </w:r>
      <w:r w:rsidR="0042197B" w:rsidRPr="00301B0F">
        <w:rPr>
          <w:color w:val="000000" w:themeColor="text1"/>
          <w:lang w:val="en-GB"/>
        </w:rPr>
        <w:t>”.</w:t>
      </w:r>
    </w:p>
    <w:p w14:paraId="16458495" w14:textId="494CA280" w:rsidR="00113164" w:rsidRPr="00301B0F" w:rsidRDefault="00623D29"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 36 shall read as follows</w:t>
      </w:r>
      <w:r w:rsidR="00113164" w:rsidRPr="00301B0F">
        <w:rPr>
          <w:color w:val="000000" w:themeColor="text1"/>
          <w:lang w:val="en-GB"/>
        </w:rPr>
        <w:t>:</w:t>
      </w:r>
    </w:p>
    <w:p w14:paraId="71AEBE39" w14:textId="518006A2" w:rsidR="0084652F" w:rsidRPr="00301B0F" w:rsidRDefault="00623D29" w:rsidP="0084652F">
      <w:pPr>
        <w:jc w:val="both"/>
        <w:rPr>
          <w:color w:val="000000" w:themeColor="text1"/>
          <w:lang w:val="en-GB" w:eastAsia="ro-MD"/>
        </w:rPr>
      </w:pPr>
      <w:r w:rsidRPr="00301B0F">
        <w:rPr>
          <w:color w:val="000000" w:themeColor="text1"/>
          <w:lang w:val="en-GB"/>
        </w:rPr>
        <w:t>“</w:t>
      </w:r>
      <w:r w:rsidR="0084652F" w:rsidRPr="00301B0F">
        <w:rPr>
          <w:b/>
          <w:bCs/>
          <w:color w:val="000000" w:themeColor="text1"/>
          <w:lang w:val="en-GB" w:eastAsia="ro-MD"/>
        </w:rPr>
        <w:t>36.</w:t>
      </w:r>
      <w:r w:rsidR="0084652F" w:rsidRPr="00301B0F">
        <w:rPr>
          <w:color w:val="000000" w:themeColor="text1"/>
          <w:lang w:val="en-GB" w:eastAsia="ro-MD"/>
        </w:rPr>
        <w:t xml:space="preserve"> </w:t>
      </w:r>
      <w:r w:rsidRPr="00301B0F">
        <w:rPr>
          <w:color w:val="000000" w:themeColor="text1"/>
          <w:lang w:val="en-GB" w:eastAsia="ro-MD"/>
        </w:rPr>
        <w:t>Banks may use the following parties as eligible providers of unfunded credit protection</w:t>
      </w:r>
      <w:r w:rsidR="0084652F" w:rsidRPr="00301B0F">
        <w:rPr>
          <w:color w:val="000000" w:themeColor="text1"/>
          <w:lang w:val="en-GB" w:eastAsia="ro-MD"/>
        </w:rPr>
        <w:t>:</w:t>
      </w:r>
    </w:p>
    <w:p w14:paraId="57C47A21" w14:textId="2CBDACC6" w:rsidR="0084652F" w:rsidRPr="00301B0F" w:rsidRDefault="0084652F" w:rsidP="0084652F">
      <w:pPr>
        <w:ind w:firstLine="567"/>
        <w:jc w:val="both"/>
        <w:rPr>
          <w:color w:val="000000" w:themeColor="text1"/>
          <w:lang w:val="en-GB" w:eastAsia="ro-MD"/>
        </w:rPr>
      </w:pPr>
      <w:r w:rsidRPr="00301B0F">
        <w:rPr>
          <w:color w:val="000000" w:themeColor="text1"/>
          <w:lang w:val="en-GB" w:eastAsia="ro-MD"/>
        </w:rPr>
        <w:t xml:space="preserve">1) </w:t>
      </w:r>
      <w:r w:rsidR="00DB3651" w:rsidRPr="00301B0F">
        <w:rPr>
          <w:color w:val="000000" w:themeColor="text1"/>
          <w:lang w:val="en-GB" w:eastAsia="ro-MD"/>
        </w:rPr>
        <w:t xml:space="preserve">central governments and central banks, regional governments or local authorities, multilateral development banks, international organisations, which are assigned a 0% risk weight under Regulation No </w:t>
      </w:r>
      <w:r w:rsidR="00473771">
        <w:rPr>
          <w:color w:val="000000" w:themeColor="text1"/>
          <w:lang w:val="en-GB" w:eastAsia="ro-MD"/>
        </w:rPr>
        <w:t>111/2018</w:t>
      </w:r>
      <w:r w:rsidRPr="00301B0F">
        <w:rPr>
          <w:color w:val="000000" w:themeColor="text1"/>
          <w:lang w:val="en-GB" w:eastAsia="ro-MD"/>
        </w:rPr>
        <w:t>;</w:t>
      </w:r>
    </w:p>
    <w:p w14:paraId="278E33B5" w14:textId="434336C5" w:rsidR="0084652F" w:rsidRPr="00301B0F" w:rsidRDefault="0084652F" w:rsidP="0084652F">
      <w:pPr>
        <w:ind w:firstLine="567"/>
        <w:jc w:val="both"/>
        <w:rPr>
          <w:color w:val="000000" w:themeColor="text1"/>
          <w:lang w:val="en-GB" w:eastAsia="ro-MD"/>
        </w:rPr>
      </w:pPr>
      <w:r w:rsidRPr="00301B0F">
        <w:rPr>
          <w:color w:val="000000" w:themeColor="text1"/>
          <w:lang w:val="en-GB" w:eastAsia="ro-MD"/>
        </w:rPr>
        <w:t xml:space="preserve">2) </w:t>
      </w:r>
      <w:r w:rsidR="00DB3651" w:rsidRPr="00301B0F">
        <w:rPr>
          <w:color w:val="000000" w:themeColor="text1"/>
          <w:lang w:val="en-GB" w:eastAsia="ro-MD"/>
        </w:rPr>
        <w:t xml:space="preserve">public sector entities treated in accordance with Regulation No </w:t>
      </w:r>
      <w:r w:rsidR="00473771">
        <w:rPr>
          <w:color w:val="000000" w:themeColor="text1"/>
          <w:lang w:val="en-GB" w:eastAsia="ro-MD"/>
        </w:rPr>
        <w:t>111/2018</w:t>
      </w:r>
      <w:r w:rsidRPr="00301B0F">
        <w:rPr>
          <w:color w:val="000000" w:themeColor="text1"/>
          <w:lang w:val="en-GB" w:eastAsia="ro-MD"/>
        </w:rPr>
        <w:t>;</w:t>
      </w:r>
    </w:p>
    <w:p w14:paraId="156279ED" w14:textId="7A58864E" w:rsidR="0084652F" w:rsidRPr="00301B0F" w:rsidRDefault="0084652F" w:rsidP="0084652F">
      <w:pPr>
        <w:ind w:firstLine="567"/>
        <w:jc w:val="both"/>
        <w:rPr>
          <w:color w:val="000000" w:themeColor="text1"/>
          <w:lang w:val="en-GB" w:eastAsia="ro-MD"/>
        </w:rPr>
      </w:pPr>
      <w:r w:rsidRPr="00301B0F">
        <w:rPr>
          <w:color w:val="000000" w:themeColor="text1"/>
          <w:lang w:val="en-GB" w:eastAsia="ro-MD"/>
        </w:rPr>
        <w:t xml:space="preserve">3) </w:t>
      </w:r>
      <w:r w:rsidR="00DB3651" w:rsidRPr="00301B0F">
        <w:rPr>
          <w:color w:val="000000" w:themeColor="text1"/>
          <w:lang w:val="en-GB" w:eastAsia="ro-MD"/>
        </w:rPr>
        <w:t xml:space="preserve">banks and non-bank financial corporations for which exposures to the non-bank financial corporation are treated as exposures to banks in accordance with Regulation No </w:t>
      </w:r>
      <w:r w:rsidR="00473771">
        <w:rPr>
          <w:color w:val="000000" w:themeColor="text1"/>
          <w:lang w:val="en-GB" w:eastAsia="ro-MD"/>
        </w:rPr>
        <w:t>111/2018</w:t>
      </w:r>
      <w:r w:rsidRPr="00301B0F">
        <w:rPr>
          <w:color w:val="000000" w:themeColor="text1"/>
          <w:lang w:val="en-GB" w:eastAsia="ro-MD"/>
        </w:rPr>
        <w:t>;</w:t>
      </w:r>
      <w:r w:rsidRPr="00301B0F">
        <w:rPr>
          <w:color w:val="000000" w:themeColor="text1"/>
          <w:sz w:val="18"/>
          <w:szCs w:val="18"/>
          <w:lang w:val="en-GB" w:eastAsia="ro-MD"/>
        </w:rPr>
        <w:t xml:space="preserve"> </w:t>
      </w:r>
    </w:p>
    <w:p w14:paraId="7DEC4466" w14:textId="027A7C5E" w:rsidR="0084652F" w:rsidRPr="00301B0F" w:rsidRDefault="0084652F" w:rsidP="0084652F">
      <w:pPr>
        <w:ind w:firstLine="567"/>
        <w:jc w:val="both"/>
        <w:rPr>
          <w:color w:val="000000" w:themeColor="text1"/>
          <w:lang w:val="en-GB" w:eastAsia="ro-MD"/>
        </w:rPr>
      </w:pPr>
      <w:r w:rsidRPr="00301B0F">
        <w:rPr>
          <w:color w:val="000000" w:themeColor="text1"/>
          <w:lang w:val="en-GB" w:eastAsia="ro-MD"/>
        </w:rPr>
        <w:lastRenderedPageBreak/>
        <w:t xml:space="preserve">4) </w:t>
      </w:r>
      <w:r w:rsidR="00DB3651" w:rsidRPr="00301B0F">
        <w:rPr>
          <w:color w:val="000000" w:themeColor="text1"/>
          <w:lang w:val="en-GB" w:eastAsia="ro-MD"/>
        </w:rPr>
        <w:t xml:space="preserve">regulated entities in the financial sector, represented by entities subject to prudential requirements, directly on an individual or consolidated basis or indirectly on the basis of the prudential consolidation of the parent undertaking, in accordance with the prudential framework for banks, investment firms and insurers/reinsurers, or the legal prudential requirements of a third country that are at least equivalent to those applied in the Republic of Moldova in accordance with Annex 5 to Regulation No </w:t>
      </w:r>
      <w:r w:rsidR="00473771">
        <w:rPr>
          <w:color w:val="000000" w:themeColor="text1"/>
          <w:lang w:val="en-GB" w:eastAsia="ro-MD"/>
        </w:rPr>
        <w:t>111/2018</w:t>
      </w:r>
      <w:r w:rsidRPr="00301B0F">
        <w:rPr>
          <w:color w:val="000000" w:themeColor="text1"/>
          <w:lang w:val="en-GB" w:eastAsia="ro-MD"/>
        </w:rPr>
        <w:t>;</w:t>
      </w:r>
    </w:p>
    <w:p w14:paraId="6C08EBF2" w14:textId="4A327BBD" w:rsidR="0084652F" w:rsidRPr="00301B0F" w:rsidRDefault="0084652F" w:rsidP="0084652F">
      <w:pPr>
        <w:ind w:firstLine="567"/>
        <w:jc w:val="both"/>
        <w:rPr>
          <w:color w:val="000000" w:themeColor="text1"/>
          <w:lang w:val="en-GB" w:eastAsia="ro-MD"/>
        </w:rPr>
      </w:pPr>
      <w:r w:rsidRPr="00301B0F">
        <w:rPr>
          <w:color w:val="000000" w:themeColor="text1"/>
          <w:lang w:val="en-GB" w:eastAsia="ro-MD"/>
        </w:rPr>
        <w:t xml:space="preserve">5) </w:t>
      </w:r>
      <w:r w:rsidR="004834A4" w:rsidRPr="00301B0F">
        <w:rPr>
          <w:color w:val="000000" w:themeColor="text1"/>
          <w:lang w:val="en-GB" w:eastAsia="ro-MD"/>
        </w:rPr>
        <w:t>Qualified Central Counterparties (QCCPs</w:t>
      </w:r>
      <w:r w:rsidRPr="00301B0F">
        <w:rPr>
          <w:color w:val="000000" w:themeColor="text1"/>
          <w:lang w:val="en-GB" w:eastAsia="ro-MD"/>
        </w:rPr>
        <w:t>);</w:t>
      </w:r>
    </w:p>
    <w:p w14:paraId="53E0DEA3" w14:textId="43F5A9A2" w:rsidR="00113164" w:rsidRPr="00301B0F" w:rsidRDefault="0084652F" w:rsidP="0084652F">
      <w:pPr>
        <w:tabs>
          <w:tab w:val="left" w:pos="567"/>
        </w:tabs>
        <w:ind w:firstLine="567"/>
        <w:jc w:val="both"/>
        <w:rPr>
          <w:color w:val="000000" w:themeColor="text1"/>
          <w:lang w:val="en-GB"/>
        </w:rPr>
      </w:pPr>
      <w:r w:rsidRPr="00301B0F">
        <w:rPr>
          <w:color w:val="000000" w:themeColor="text1"/>
          <w:lang w:val="en-GB" w:eastAsia="ro-MD"/>
        </w:rPr>
        <w:t xml:space="preserve">6) </w:t>
      </w:r>
      <w:r w:rsidR="004834A4" w:rsidRPr="00301B0F">
        <w:rPr>
          <w:color w:val="000000" w:themeColor="text1"/>
          <w:lang w:val="en-GB" w:eastAsia="ro-MD"/>
        </w:rPr>
        <w:t>where the credit protection is not provided to a securitisation exposure, other undertakings, that have a credit assessment by a nominated ECAI, including parent undertakings, subsidiaries or affiliated entities of the obligor where a direct exposure to those parent undertakings, subsidiaries or affiliated entities has a lower risk weight than the exposure to the obligor</w:t>
      </w:r>
      <w:r w:rsidRPr="00301B0F">
        <w:rPr>
          <w:color w:val="000000" w:themeColor="text1"/>
          <w:lang w:val="en-GB" w:eastAsia="ro-MD"/>
        </w:rPr>
        <w:t>.</w:t>
      </w:r>
      <w:r w:rsidR="00113164" w:rsidRPr="00301B0F">
        <w:rPr>
          <w:color w:val="000000" w:themeColor="text1"/>
          <w:lang w:val="en-GB"/>
        </w:rPr>
        <w:t>”.</w:t>
      </w:r>
    </w:p>
    <w:p w14:paraId="4C1340B9" w14:textId="5D68FEF9" w:rsidR="002337D1" w:rsidRPr="00301B0F" w:rsidRDefault="004834A4" w:rsidP="00DD1675">
      <w:pPr>
        <w:pStyle w:val="ListParagraph"/>
        <w:numPr>
          <w:ilvl w:val="1"/>
          <w:numId w:val="27"/>
        </w:numPr>
        <w:tabs>
          <w:tab w:val="left" w:pos="567"/>
        </w:tabs>
        <w:spacing w:before="80"/>
        <w:ind w:left="0" w:firstLine="567"/>
        <w:jc w:val="both"/>
        <w:rPr>
          <w:color w:val="000000" w:themeColor="text1"/>
          <w:lang w:val="en-GB"/>
        </w:rPr>
      </w:pPr>
      <w:r w:rsidRPr="00301B0F">
        <w:rPr>
          <w:color w:val="000000" w:themeColor="text1"/>
          <w:lang w:val="en-GB"/>
        </w:rPr>
        <w:t>Paragraph</w:t>
      </w:r>
      <w:r w:rsidR="00F2028C" w:rsidRPr="00301B0F">
        <w:rPr>
          <w:color w:val="000000" w:themeColor="text1"/>
          <w:lang w:val="en-GB"/>
        </w:rPr>
        <w:t xml:space="preserve"> </w:t>
      </w:r>
      <w:r w:rsidR="0084652F" w:rsidRPr="00301B0F">
        <w:rPr>
          <w:color w:val="000000" w:themeColor="text1"/>
          <w:lang w:val="en-GB"/>
        </w:rPr>
        <w:t>36</w:t>
      </w:r>
      <w:r w:rsidR="00F2028C" w:rsidRPr="00301B0F">
        <w:rPr>
          <w:color w:val="000000" w:themeColor="text1"/>
          <w:vertAlign w:val="superscript"/>
          <w:lang w:val="en-GB"/>
        </w:rPr>
        <w:t>1</w:t>
      </w:r>
      <w:r w:rsidR="0099001D" w:rsidRPr="00301B0F">
        <w:rPr>
          <w:color w:val="000000" w:themeColor="text1"/>
          <w:lang w:val="en-GB"/>
        </w:rPr>
        <w:t xml:space="preserve"> </w:t>
      </w:r>
      <w:r w:rsidRPr="00301B0F">
        <w:rPr>
          <w:color w:val="000000" w:themeColor="text1"/>
          <w:lang w:val="en-GB"/>
        </w:rPr>
        <w:t>shall be supplemented, reading as follows</w:t>
      </w:r>
      <w:r w:rsidR="00F2028C" w:rsidRPr="00301B0F">
        <w:rPr>
          <w:color w:val="000000" w:themeColor="text1"/>
          <w:lang w:val="en-GB"/>
        </w:rPr>
        <w:t>:</w:t>
      </w:r>
    </w:p>
    <w:p w14:paraId="5125E4A3" w14:textId="20F948ED" w:rsidR="00F2028C" w:rsidRPr="00301B0F" w:rsidRDefault="004834A4" w:rsidP="0099001D">
      <w:pPr>
        <w:jc w:val="both"/>
        <w:rPr>
          <w:color w:val="000000" w:themeColor="text1"/>
          <w:lang w:val="en-GB"/>
        </w:rPr>
      </w:pPr>
      <w:r w:rsidRPr="00301B0F">
        <w:rPr>
          <w:b/>
          <w:bCs/>
          <w:color w:val="000000" w:themeColor="text1"/>
          <w:lang w:val="en-GB" w:eastAsia="ro-MD"/>
        </w:rPr>
        <w:t>“</w:t>
      </w:r>
      <w:r w:rsidR="0084652F" w:rsidRPr="00301B0F">
        <w:rPr>
          <w:b/>
          <w:bCs/>
          <w:color w:val="000000" w:themeColor="text1"/>
          <w:lang w:val="en-GB" w:eastAsia="ro-MD"/>
        </w:rPr>
        <w:t>36</w:t>
      </w:r>
      <w:r w:rsidR="0084652F" w:rsidRPr="00301B0F">
        <w:rPr>
          <w:b/>
          <w:bCs/>
          <w:color w:val="000000" w:themeColor="text1"/>
          <w:vertAlign w:val="superscript"/>
          <w:lang w:val="en-GB" w:eastAsia="ro-MD"/>
        </w:rPr>
        <w:t>1</w:t>
      </w:r>
      <w:r w:rsidR="0084652F" w:rsidRPr="00301B0F">
        <w:rPr>
          <w:b/>
          <w:bCs/>
          <w:color w:val="000000" w:themeColor="text1"/>
          <w:lang w:val="en-GB" w:eastAsia="ro-MD"/>
        </w:rPr>
        <w:t>.</w:t>
      </w:r>
      <w:r w:rsidR="0084652F" w:rsidRPr="00301B0F">
        <w:rPr>
          <w:color w:val="000000" w:themeColor="text1"/>
          <w:lang w:val="en-GB" w:eastAsia="ro-MD"/>
        </w:rPr>
        <w:t xml:space="preserve"> </w:t>
      </w:r>
      <w:r w:rsidRPr="00301B0F">
        <w:rPr>
          <w:color w:val="000000" w:themeColor="text1"/>
          <w:lang w:val="en-GB" w:eastAsia="ro-MD"/>
        </w:rPr>
        <w:t>In addition to the protection providers listed in paragraph 36, entities to which banks rate internally in accordance with the requirements for the use of the IRB Approach are eligible providers of unfunded credit protection where the bank uses the IRB Approach for exposures to those entities</w:t>
      </w:r>
      <w:r w:rsidR="0084652F" w:rsidRPr="00301B0F">
        <w:rPr>
          <w:color w:val="000000" w:themeColor="text1"/>
          <w:lang w:val="en-GB" w:eastAsia="ro-MD"/>
        </w:rPr>
        <w:t>.”.</w:t>
      </w:r>
    </w:p>
    <w:p w14:paraId="14F84F70" w14:textId="23206959" w:rsidR="006F7A35" w:rsidRPr="00301B0F" w:rsidRDefault="00FF1505"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 41 “VI” is replaced by “V” and “and expected loss amounts” is added after “exposures</w:t>
      </w:r>
      <w:r w:rsidR="006F7A35" w:rsidRPr="00301B0F">
        <w:rPr>
          <w:color w:val="000000" w:themeColor="text1"/>
          <w:lang w:val="en-GB"/>
        </w:rPr>
        <w:t>”.</w:t>
      </w:r>
    </w:p>
    <w:p w14:paraId="69184BDE" w14:textId="4C7B68DF" w:rsidR="00E73142" w:rsidRPr="00301B0F" w:rsidRDefault="00FF1505" w:rsidP="00DD167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 xml:space="preserve">Chapter V is supplemented by the following paragraph </w:t>
      </w:r>
      <w:r w:rsidR="00E73142" w:rsidRPr="00301B0F">
        <w:rPr>
          <w:color w:val="000000" w:themeColor="text1"/>
          <w:lang w:val="en-GB"/>
        </w:rPr>
        <w:t>41</w:t>
      </w:r>
      <w:r w:rsidR="00BB299A" w:rsidRPr="00301B0F">
        <w:rPr>
          <w:color w:val="000000" w:themeColor="text1"/>
          <w:vertAlign w:val="superscript"/>
          <w:lang w:val="en-GB"/>
        </w:rPr>
        <w:t>1</w:t>
      </w:r>
      <w:r w:rsidR="00E73142" w:rsidRPr="00301B0F">
        <w:rPr>
          <w:color w:val="000000" w:themeColor="text1"/>
          <w:lang w:val="en-GB"/>
        </w:rPr>
        <w:t>:</w:t>
      </w:r>
    </w:p>
    <w:p w14:paraId="369998B9" w14:textId="72A5E0EB" w:rsidR="00D752A5" w:rsidRPr="00301B0F" w:rsidRDefault="00FF1505" w:rsidP="00E73142">
      <w:pPr>
        <w:tabs>
          <w:tab w:val="left" w:pos="567"/>
        </w:tabs>
        <w:jc w:val="both"/>
        <w:rPr>
          <w:color w:val="000000" w:themeColor="text1"/>
          <w:lang w:val="en-GB"/>
        </w:rPr>
      </w:pPr>
      <w:r w:rsidRPr="00301B0F">
        <w:rPr>
          <w:color w:val="000000" w:themeColor="text1"/>
          <w:lang w:val="en-GB"/>
        </w:rPr>
        <w:t>“</w:t>
      </w:r>
      <w:r w:rsidR="00E73142" w:rsidRPr="00301B0F">
        <w:rPr>
          <w:b/>
          <w:bCs/>
          <w:color w:val="000000" w:themeColor="text1"/>
          <w:lang w:val="en-GB" w:eastAsia="ro-MD"/>
        </w:rPr>
        <w:t>41</w:t>
      </w:r>
      <w:r w:rsidR="00E73142" w:rsidRPr="00301B0F">
        <w:rPr>
          <w:b/>
          <w:bCs/>
          <w:color w:val="000000" w:themeColor="text1"/>
          <w:vertAlign w:val="superscript"/>
          <w:lang w:val="en-GB" w:eastAsia="ro-MD"/>
        </w:rPr>
        <w:t>1</w:t>
      </w:r>
      <w:r w:rsidR="00E73142" w:rsidRPr="00301B0F">
        <w:rPr>
          <w:b/>
          <w:bCs/>
          <w:color w:val="000000" w:themeColor="text1"/>
          <w:lang w:val="en-GB" w:eastAsia="ro-MD"/>
        </w:rPr>
        <w:t>.</w:t>
      </w:r>
      <w:r w:rsidR="00E73142" w:rsidRPr="00301B0F">
        <w:rPr>
          <w:color w:val="000000" w:themeColor="text1"/>
          <w:lang w:val="en-GB" w:eastAsia="ro-MD"/>
        </w:rPr>
        <w:t xml:space="preserve"> </w:t>
      </w:r>
      <w:r w:rsidRPr="00301B0F">
        <w:rPr>
          <w:color w:val="000000" w:themeColor="text1"/>
          <w:lang w:val="en-GB" w:eastAsia="ro-MD"/>
        </w:rPr>
        <w:t>First-to-default and all other nth-to-default credit derivatives shall not be eligible types of unfunded credit protection</w:t>
      </w:r>
      <w:r w:rsidR="00E73142" w:rsidRPr="00301B0F">
        <w:rPr>
          <w:color w:val="000000" w:themeColor="text1"/>
          <w:lang w:val="en-GB" w:eastAsia="ro-MD"/>
        </w:rPr>
        <w:t>.”</w:t>
      </w:r>
      <w:r w:rsidR="00250DDE" w:rsidRPr="00301B0F">
        <w:rPr>
          <w:color w:val="000000" w:themeColor="text1"/>
          <w:lang w:val="en-GB"/>
        </w:rPr>
        <w:t>.</w:t>
      </w:r>
    </w:p>
    <w:p w14:paraId="11B198CE" w14:textId="1ECC8BBD" w:rsidR="006802B5" w:rsidRPr="00301B0F" w:rsidRDefault="00FF1505" w:rsidP="00DD1675">
      <w:pPr>
        <w:pStyle w:val="ListParagraph"/>
        <w:numPr>
          <w:ilvl w:val="1"/>
          <w:numId w:val="27"/>
        </w:numPr>
        <w:tabs>
          <w:tab w:val="left" w:pos="567"/>
        </w:tabs>
        <w:spacing w:before="80"/>
        <w:ind w:left="0" w:firstLine="567"/>
        <w:jc w:val="both"/>
        <w:rPr>
          <w:color w:val="000000" w:themeColor="text1"/>
          <w:lang w:val="en-GB"/>
        </w:rPr>
      </w:pPr>
      <w:r w:rsidRPr="00301B0F">
        <w:rPr>
          <w:color w:val="000000" w:themeColor="text1"/>
          <w:lang w:val="en-GB"/>
        </w:rPr>
        <w:t>Chapter</w:t>
      </w:r>
      <w:r w:rsidR="00BB299A" w:rsidRPr="00301B0F">
        <w:rPr>
          <w:color w:val="000000" w:themeColor="text1"/>
          <w:lang w:val="en-GB"/>
        </w:rPr>
        <w:t xml:space="preserve"> V</w:t>
      </w:r>
      <w:r w:rsidR="000D166D" w:rsidRPr="00301B0F">
        <w:rPr>
          <w:color w:val="000000" w:themeColor="text1"/>
          <w:vertAlign w:val="superscript"/>
          <w:lang w:val="en-GB"/>
        </w:rPr>
        <w:t>1</w:t>
      </w:r>
      <w:r w:rsidR="00433F1F" w:rsidRPr="00301B0F">
        <w:rPr>
          <w:color w:val="000000" w:themeColor="text1"/>
          <w:lang w:val="en-GB"/>
        </w:rPr>
        <w:t xml:space="preserve"> </w:t>
      </w:r>
      <w:r w:rsidRPr="00301B0F">
        <w:rPr>
          <w:color w:val="000000" w:themeColor="text1"/>
          <w:lang w:val="en-GB"/>
        </w:rPr>
        <w:t>shall be added, with the following content</w:t>
      </w:r>
      <w:r w:rsidR="00433F1F" w:rsidRPr="00301B0F">
        <w:rPr>
          <w:color w:val="000000" w:themeColor="text1"/>
          <w:lang w:val="en-GB"/>
        </w:rPr>
        <w:t>:</w:t>
      </w:r>
    </w:p>
    <w:p w14:paraId="55D32690" w14:textId="357B040C" w:rsidR="00FF1505" w:rsidRPr="00301B0F" w:rsidRDefault="00FF1505" w:rsidP="00FF1505">
      <w:pPr>
        <w:jc w:val="center"/>
        <w:rPr>
          <w:b/>
          <w:bCs/>
          <w:color w:val="000000" w:themeColor="text1"/>
          <w:lang w:val="en-GB" w:eastAsia="ro-MD"/>
        </w:rPr>
      </w:pPr>
      <w:r w:rsidRPr="00301B0F">
        <w:rPr>
          <w:color w:val="000000" w:themeColor="text1"/>
          <w:lang w:val="en-GB"/>
        </w:rPr>
        <w:t>“</w:t>
      </w:r>
      <w:r w:rsidRPr="00301B0F">
        <w:rPr>
          <w:b/>
          <w:bCs/>
          <w:color w:val="000000" w:themeColor="text1"/>
          <w:lang w:val="en-GB" w:eastAsia="ro-MD"/>
        </w:rPr>
        <w:t>Chapter</w:t>
      </w:r>
      <w:r w:rsidR="00BB299A" w:rsidRPr="00301B0F">
        <w:rPr>
          <w:b/>
          <w:bCs/>
          <w:color w:val="000000" w:themeColor="text1"/>
          <w:lang w:val="en-GB" w:eastAsia="ro-MD"/>
        </w:rPr>
        <w:t xml:space="preserve"> V</w:t>
      </w:r>
      <w:r w:rsidR="00BB299A" w:rsidRPr="00301B0F">
        <w:rPr>
          <w:b/>
          <w:bCs/>
          <w:color w:val="000000" w:themeColor="text1"/>
          <w:vertAlign w:val="superscript"/>
          <w:lang w:val="en-GB" w:eastAsia="ro-MD"/>
        </w:rPr>
        <w:t>1</w:t>
      </w:r>
    </w:p>
    <w:p w14:paraId="207B3F13" w14:textId="392187E8" w:rsidR="00BB299A" w:rsidRPr="00301B0F" w:rsidRDefault="00FF1505" w:rsidP="00BB299A">
      <w:pPr>
        <w:jc w:val="center"/>
        <w:rPr>
          <w:b/>
          <w:bCs/>
          <w:color w:val="000000" w:themeColor="text1"/>
          <w:lang w:val="en-GB" w:eastAsia="ro-MD"/>
        </w:rPr>
      </w:pPr>
      <w:r w:rsidRPr="00301B0F">
        <w:rPr>
          <w:b/>
          <w:bCs/>
          <w:color w:val="000000" w:themeColor="text1"/>
          <w:lang w:val="en-GB" w:eastAsia="ro-MD"/>
        </w:rPr>
        <w:t>ELIGIBLE TYPES OF EQUITY DERIVATIVES</w:t>
      </w:r>
    </w:p>
    <w:p w14:paraId="332F90CC" w14:textId="30778826" w:rsidR="00BB299A" w:rsidRPr="00301B0F" w:rsidRDefault="00BB299A" w:rsidP="00BB299A">
      <w:pPr>
        <w:jc w:val="both"/>
        <w:rPr>
          <w:color w:val="000000" w:themeColor="text1"/>
          <w:lang w:val="en-GB" w:eastAsia="ro-MD"/>
        </w:rPr>
      </w:pPr>
      <w:r w:rsidRPr="00301B0F">
        <w:rPr>
          <w:b/>
          <w:bCs/>
          <w:color w:val="000000" w:themeColor="text1"/>
          <w:lang w:val="en-GB" w:eastAsia="ro-MD"/>
        </w:rPr>
        <w:t>41</w:t>
      </w:r>
      <w:r w:rsidRPr="00301B0F">
        <w:rPr>
          <w:b/>
          <w:bCs/>
          <w:color w:val="000000" w:themeColor="text1"/>
          <w:vertAlign w:val="superscript"/>
          <w:lang w:val="en-GB" w:eastAsia="ro-MD"/>
        </w:rPr>
        <w:t>2</w:t>
      </w:r>
      <w:r w:rsidRPr="00301B0F">
        <w:rPr>
          <w:b/>
          <w:bCs/>
          <w:color w:val="000000" w:themeColor="text1"/>
          <w:lang w:val="en-GB" w:eastAsia="ro-MD"/>
        </w:rPr>
        <w:t>.</w:t>
      </w:r>
      <w:r w:rsidRPr="00301B0F">
        <w:rPr>
          <w:color w:val="000000" w:themeColor="text1"/>
          <w:lang w:val="en-GB" w:eastAsia="ro-MD"/>
        </w:rPr>
        <w:t xml:space="preserve"> </w:t>
      </w:r>
      <w:r w:rsidR="00FF1505" w:rsidRPr="00301B0F">
        <w:rPr>
          <w:color w:val="000000" w:themeColor="text1"/>
          <w:lang w:val="en-GB" w:eastAsia="ro-MD"/>
        </w:rPr>
        <w:t>Banks may use equity derivatives that are total return swaps or that are economically effectively similar as eligible credit protection, but only for the purpose of internal hedges</w:t>
      </w:r>
      <w:r w:rsidRPr="00301B0F">
        <w:rPr>
          <w:color w:val="000000" w:themeColor="text1"/>
          <w:lang w:val="en-GB" w:eastAsia="ro-MD"/>
        </w:rPr>
        <w:t>.</w:t>
      </w:r>
    </w:p>
    <w:p w14:paraId="42D2B43B" w14:textId="43224DEC" w:rsidR="00BB299A" w:rsidRPr="00301B0F" w:rsidRDefault="00BB299A" w:rsidP="00BB299A">
      <w:pPr>
        <w:jc w:val="both"/>
        <w:rPr>
          <w:color w:val="000000" w:themeColor="text1"/>
          <w:lang w:val="en-GB" w:eastAsia="ro-MD"/>
        </w:rPr>
      </w:pPr>
      <w:r w:rsidRPr="00301B0F">
        <w:rPr>
          <w:b/>
          <w:bCs/>
          <w:color w:val="000000" w:themeColor="text1"/>
          <w:lang w:val="en-GB" w:eastAsia="ro-MD"/>
        </w:rPr>
        <w:t>41</w:t>
      </w:r>
      <w:r w:rsidRPr="00301B0F">
        <w:rPr>
          <w:b/>
          <w:bCs/>
          <w:color w:val="000000" w:themeColor="text1"/>
          <w:vertAlign w:val="superscript"/>
          <w:lang w:val="en-GB" w:eastAsia="ro-MD"/>
        </w:rPr>
        <w:t>3</w:t>
      </w:r>
      <w:r w:rsidRPr="00301B0F">
        <w:rPr>
          <w:b/>
          <w:bCs/>
          <w:color w:val="000000" w:themeColor="text1"/>
          <w:lang w:val="en-GB" w:eastAsia="ro-MD"/>
        </w:rPr>
        <w:t>.</w:t>
      </w:r>
      <w:r w:rsidRPr="00301B0F">
        <w:rPr>
          <w:color w:val="000000" w:themeColor="text1"/>
          <w:lang w:val="en-GB" w:eastAsia="ro-MD"/>
        </w:rPr>
        <w:t xml:space="preserve"> </w:t>
      </w:r>
      <w:r w:rsidR="00FF1505" w:rsidRPr="00301B0F">
        <w:rPr>
          <w:color w:val="000000" w:themeColor="text1"/>
          <w:lang w:val="en-GB" w:eastAsia="ro-MD"/>
        </w:rPr>
        <w:t xml:space="preserve">Where a bank buys credit protection through a total return swap and records the net payments received on the swap as net </w:t>
      </w:r>
      <w:proofErr w:type="gramStart"/>
      <w:r w:rsidR="00FF1505" w:rsidRPr="00301B0F">
        <w:rPr>
          <w:color w:val="000000" w:themeColor="text1"/>
          <w:lang w:val="en-GB" w:eastAsia="ro-MD"/>
        </w:rPr>
        <w:t>income, but</w:t>
      </w:r>
      <w:proofErr w:type="gramEnd"/>
      <w:r w:rsidR="00FF1505" w:rsidRPr="00301B0F">
        <w:rPr>
          <w:color w:val="000000" w:themeColor="text1"/>
          <w:lang w:val="en-GB" w:eastAsia="ro-MD"/>
        </w:rPr>
        <w:t xml:space="preserve"> does not record the offsetting deterioration in the value of the asset that is protected either through reductions in fair value or by an addition to reserves, that credit protection shall not qualify as eligible credit protection</w:t>
      </w:r>
      <w:r w:rsidRPr="00301B0F">
        <w:rPr>
          <w:color w:val="000000" w:themeColor="text1"/>
          <w:lang w:val="en-GB" w:eastAsia="ro-MD"/>
        </w:rPr>
        <w:t>.</w:t>
      </w:r>
    </w:p>
    <w:p w14:paraId="7D04EAED" w14:textId="09C9B5AA" w:rsidR="00BB299A" w:rsidRPr="00301B0F" w:rsidRDefault="00BB299A" w:rsidP="00BB299A">
      <w:pPr>
        <w:jc w:val="both"/>
        <w:rPr>
          <w:color w:val="000000" w:themeColor="text1"/>
          <w:lang w:val="en-GB" w:eastAsia="ro-MD"/>
        </w:rPr>
      </w:pPr>
      <w:r w:rsidRPr="00301B0F">
        <w:rPr>
          <w:b/>
          <w:bCs/>
          <w:color w:val="000000" w:themeColor="text1"/>
          <w:lang w:val="en-GB" w:eastAsia="ro-MD"/>
        </w:rPr>
        <w:t>41</w:t>
      </w:r>
      <w:r w:rsidRPr="00301B0F">
        <w:rPr>
          <w:b/>
          <w:bCs/>
          <w:color w:val="000000" w:themeColor="text1"/>
          <w:vertAlign w:val="superscript"/>
          <w:lang w:val="en-GB" w:eastAsia="ro-MD"/>
        </w:rPr>
        <w:t>4</w:t>
      </w:r>
      <w:r w:rsidRPr="00301B0F">
        <w:rPr>
          <w:b/>
          <w:bCs/>
          <w:color w:val="000000" w:themeColor="text1"/>
          <w:lang w:val="en-GB" w:eastAsia="ro-MD"/>
        </w:rPr>
        <w:t>.</w:t>
      </w:r>
      <w:r w:rsidRPr="00301B0F">
        <w:rPr>
          <w:color w:val="000000" w:themeColor="text1"/>
          <w:lang w:val="en-GB" w:eastAsia="ro-MD"/>
        </w:rPr>
        <w:t xml:space="preserve"> </w:t>
      </w:r>
      <w:r w:rsidR="00AA29AE" w:rsidRPr="00301B0F">
        <w:rPr>
          <w:color w:val="000000" w:themeColor="text1"/>
          <w:lang w:val="en-GB" w:eastAsia="ro-MD"/>
        </w:rPr>
        <w:t xml:space="preserve">Where a bank conducts an internal hedge using an equity derivative, </w:t>
      </w:r>
      <w:proofErr w:type="gramStart"/>
      <w:r w:rsidR="00AA29AE" w:rsidRPr="00301B0F">
        <w:rPr>
          <w:color w:val="000000" w:themeColor="text1"/>
          <w:lang w:val="en-GB" w:eastAsia="ro-MD"/>
        </w:rPr>
        <w:t>in order for</w:t>
      </w:r>
      <w:proofErr w:type="gramEnd"/>
      <w:r w:rsidR="00AA29AE" w:rsidRPr="00301B0F">
        <w:rPr>
          <w:color w:val="000000" w:themeColor="text1"/>
          <w:lang w:val="en-GB" w:eastAsia="ro-MD"/>
        </w:rPr>
        <w:t xml:space="preserve"> the internal hedge to qualify as eligible credit protection, the credit risk transferred to the trading book shall be transferred out to a third party or parties</w:t>
      </w:r>
      <w:r w:rsidRPr="00301B0F">
        <w:rPr>
          <w:color w:val="000000" w:themeColor="text1"/>
          <w:lang w:val="en-GB" w:eastAsia="ro-MD"/>
        </w:rPr>
        <w:t>.</w:t>
      </w:r>
    </w:p>
    <w:p w14:paraId="11146609" w14:textId="4EB0D248" w:rsidR="00433F1F" w:rsidRPr="00301B0F" w:rsidRDefault="00BB299A" w:rsidP="00F3752A">
      <w:pPr>
        <w:jc w:val="both"/>
        <w:rPr>
          <w:color w:val="000000" w:themeColor="text1"/>
          <w:lang w:val="en-GB"/>
        </w:rPr>
      </w:pPr>
      <w:r w:rsidRPr="00301B0F">
        <w:rPr>
          <w:b/>
          <w:bCs/>
          <w:color w:val="000000" w:themeColor="text1"/>
          <w:lang w:val="en-GB" w:eastAsia="ro-MD"/>
        </w:rPr>
        <w:t>41</w:t>
      </w:r>
      <w:r w:rsidRPr="00301B0F">
        <w:rPr>
          <w:b/>
          <w:bCs/>
          <w:color w:val="000000" w:themeColor="text1"/>
          <w:vertAlign w:val="superscript"/>
          <w:lang w:val="en-GB" w:eastAsia="ro-MD"/>
        </w:rPr>
        <w:t>5</w:t>
      </w:r>
      <w:r w:rsidRPr="00301B0F">
        <w:rPr>
          <w:b/>
          <w:bCs/>
          <w:color w:val="000000" w:themeColor="text1"/>
          <w:lang w:val="en-GB" w:eastAsia="ro-MD"/>
        </w:rPr>
        <w:t>.</w:t>
      </w:r>
      <w:r w:rsidRPr="00301B0F">
        <w:rPr>
          <w:color w:val="000000" w:themeColor="text1"/>
          <w:lang w:val="en-GB" w:eastAsia="ro-MD"/>
        </w:rPr>
        <w:t xml:space="preserve"> </w:t>
      </w:r>
      <w:r w:rsidR="00AA29AE" w:rsidRPr="00301B0F">
        <w:rPr>
          <w:color w:val="000000" w:themeColor="text1"/>
          <w:lang w:val="en-GB" w:eastAsia="ro-MD"/>
        </w:rPr>
        <w:t xml:space="preserve">Where an internal hedge has been conducted in accordance with paragraph </w:t>
      </w:r>
      <w:r w:rsidRPr="00301B0F">
        <w:rPr>
          <w:color w:val="000000" w:themeColor="text1"/>
          <w:lang w:val="en-GB" w:eastAsia="ro-MD"/>
        </w:rPr>
        <w:t>41</w:t>
      </w:r>
      <w:r w:rsidRPr="00301B0F">
        <w:rPr>
          <w:color w:val="000000" w:themeColor="text1"/>
          <w:vertAlign w:val="superscript"/>
          <w:lang w:val="en-GB" w:eastAsia="ro-MD"/>
        </w:rPr>
        <w:t>4</w:t>
      </w:r>
      <w:r w:rsidRPr="00301B0F">
        <w:rPr>
          <w:color w:val="000000" w:themeColor="text1"/>
          <w:lang w:val="en-GB" w:eastAsia="ro-MD"/>
        </w:rPr>
        <w:t xml:space="preserve">, </w:t>
      </w:r>
      <w:r w:rsidR="00AA29AE" w:rsidRPr="00301B0F">
        <w:rPr>
          <w:color w:val="000000" w:themeColor="text1"/>
          <w:lang w:val="en-GB" w:eastAsia="ro-MD"/>
        </w:rPr>
        <w:t>and the requirements laid down in this Regulation have been met, banks shall apply the rules set out in Titles IV to V when calculating risk-weighted exposure amounts and expected loss amounts where they acquire unfunded credit protection</w:t>
      </w:r>
      <w:r w:rsidRPr="00301B0F">
        <w:rPr>
          <w:color w:val="000000" w:themeColor="text1"/>
          <w:lang w:val="en-GB" w:eastAsia="ro-MD"/>
        </w:rPr>
        <w:t>.</w:t>
      </w:r>
      <w:r w:rsidR="00433F1F" w:rsidRPr="00301B0F">
        <w:rPr>
          <w:color w:val="000000" w:themeColor="text1"/>
          <w:lang w:val="en-GB"/>
        </w:rPr>
        <w:t>”.</w:t>
      </w:r>
      <w:r w:rsidR="00AA29AE" w:rsidRPr="00301B0F">
        <w:rPr>
          <w:color w:val="000000" w:themeColor="text1"/>
          <w:lang w:val="en-GB"/>
        </w:rPr>
        <w:t xml:space="preserve"> </w:t>
      </w:r>
    </w:p>
    <w:p w14:paraId="609F9E6C" w14:textId="635F72C1" w:rsidR="000D166D" w:rsidRPr="00301B0F" w:rsidRDefault="000D166D" w:rsidP="003F15A0">
      <w:pPr>
        <w:pStyle w:val="ListParagraph"/>
        <w:numPr>
          <w:ilvl w:val="1"/>
          <w:numId w:val="27"/>
        </w:numPr>
        <w:tabs>
          <w:tab w:val="left" w:pos="567"/>
        </w:tabs>
        <w:ind w:left="0" w:firstLine="567"/>
        <w:jc w:val="both"/>
        <w:rPr>
          <w:color w:val="000000" w:themeColor="text1"/>
          <w:lang w:val="en-GB"/>
        </w:rPr>
      </w:pPr>
      <w:r w:rsidRPr="00301B0F">
        <w:rPr>
          <w:color w:val="000000" w:themeColor="text1"/>
          <w:lang w:val="en-GB"/>
        </w:rPr>
        <w:t>P</w:t>
      </w:r>
      <w:r w:rsidR="00AA29AE" w:rsidRPr="00301B0F">
        <w:rPr>
          <w:color w:val="000000" w:themeColor="text1"/>
          <w:lang w:val="en-GB"/>
        </w:rPr>
        <w:t xml:space="preserve">aragraph </w:t>
      </w:r>
      <w:r w:rsidR="00D71CDA" w:rsidRPr="00301B0F">
        <w:rPr>
          <w:color w:val="000000" w:themeColor="text1"/>
          <w:lang w:val="en-GB"/>
        </w:rPr>
        <w:t>46</w:t>
      </w:r>
      <w:r w:rsidRPr="00301B0F">
        <w:rPr>
          <w:color w:val="000000" w:themeColor="text1"/>
          <w:lang w:val="en-GB"/>
        </w:rPr>
        <w:t xml:space="preserve"> </w:t>
      </w:r>
      <w:r w:rsidR="00AA29AE" w:rsidRPr="00301B0F">
        <w:rPr>
          <w:color w:val="000000" w:themeColor="text1"/>
          <w:lang w:val="en-GB"/>
        </w:rPr>
        <w:t>shall read as follows</w:t>
      </w:r>
      <w:r w:rsidR="00D71CDA" w:rsidRPr="00301B0F">
        <w:rPr>
          <w:color w:val="000000" w:themeColor="text1"/>
          <w:lang w:val="en-GB"/>
        </w:rPr>
        <w:t>:</w:t>
      </w:r>
    </w:p>
    <w:p w14:paraId="06070AE5" w14:textId="5BA6312D" w:rsidR="00473EF4" w:rsidRPr="00301B0F" w:rsidRDefault="00AA29AE" w:rsidP="00F3752A">
      <w:pPr>
        <w:jc w:val="both"/>
        <w:rPr>
          <w:color w:val="000000" w:themeColor="text1"/>
          <w:lang w:val="en-GB"/>
        </w:rPr>
      </w:pPr>
      <w:r w:rsidRPr="00301B0F">
        <w:rPr>
          <w:color w:val="000000" w:themeColor="text1"/>
          <w:lang w:val="en-GB"/>
        </w:rPr>
        <w:t>“</w:t>
      </w:r>
      <w:r w:rsidR="00D039A9" w:rsidRPr="00301B0F">
        <w:rPr>
          <w:b/>
          <w:bCs/>
          <w:color w:val="000000" w:themeColor="text1"/>
          <w:lang w:val="en-GB"/>
        </w:rPr>
        <w:t>4</w:t>
      </w:r>
      <w:r w:rsidR="00D71CDA" w:rsidRPr="00301B0F">
        <w:rPr>
          <w:b/>
          <w:bCs/>
          <w:color w:val="000000" w:themeColor="text1"/>
          <w:lang w:val="en-GB"/>
        </w:rPr>
        <w:t>6</w:t>
      </w:r>
      <w:r w:rsidR="00D039A9" w:rsidRPr="00301B0F">
        <w:rPr>
          <w:b/>
          <w:bCs/>
          <w:color w:val="000000" w:themeColor="text1"/>
          <w:lang w:val="en-GB"/>
        </w:rPr>
        <w:t>.</w:t>
      </w:r>
      <w:r w:rsidR="00D039A9" w:rsidRPr="00301B0F">
        <w:rPr>
          <w:color w:val="000000" w:themeColor="text1"/>
          <w:lang w:val="en-GB"/>
        </w:rPr>
        <w:t xml:space="preserve"> </w:t>
      </w:r>
      <w:r w:rsidR="00BB7DA1" w:rsidRPr="00301B0F">
        <w:rPr>
          <w:color w:val="000000" w:themeColor="text1"/>
          <w:lang w:val="en-GB" w:eastAsia="ro-MD"/>
        </w:rPr>
        <w:t xml:space="preserve">Securities issued by the obligor or any other group entity do not qualify as eligible collateral. This notwithstanding, the obligor's own issues of covered bonds falling within the terms of Regulation No 111/2018 qualify as eligible collateral when they are posted as collateral for a repurchase transaction, </w:t>
      </w:r>
      <w:proofErr w:type="gramStart"/>
      <w:r w:rsidR="00BB7DA1" w:rsidRPr="00301B0F">
        <w:rPr>
          <w:color w:val="000000" w:themeColor="text1"/>
          <w:lang w:val="en-GB" w:eastAsia="ro-MD"/>
        </w:rPr>
        <w:t>provided that</w:t>
      </w:r>
      <w:proofErr w:type="gramEnd"/>
      <w:r w:rsidR="00BB7DA1" w:rsidRPr="00301B0F">
        <w:rPr>
          <w:color w:val="000000" w:themeColor="text1"/>
          <w:lang w:val="en-GB" w:eastAsia="ro-MD"/>
        </w:rPr>
        <w:t xml:space="preserve"> they comply with the condition set out in paragraph 45</w:t>
      </w:r>
      <w:r w:rsidR="00D71CDA" w:rsidRPr="00301B0F">
        <w:rPr>
          <w:color w:val="000000" w:themeColor="text1"/>
          <w:lang w:val="en-GB" w:eastAsia="ro-MD"/>
        </w:rPr>
        <w:t>.</w:t>
      </w:r>
      <w:r w:rsidR="005F4D74" w:rsidRPr="00301B0F">
        <w:rPr>
          <w:color w:val="000000" w:themeColor="text1"/>
          <w:lang w:val="en-GB"/>
        </w:rPr>
        <w:t>”.</w:t>
      </w:r>
    </w:p>
    <w:p w14:paraId="53F35A6B" w14:textId="1FB8DF43" w:rsidR="007B1AF8" w:rsidRPr="00301B0F" w:rsidRDefault="00BB7DA1" w:rsidP="003F15A0">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 49 sub-paragraph 4) shall be supplemented with the following words “ESG-related considerations shall prompt an assessment of whether a significant decrease in the market value of the collateral has occurred</w:t>
      </w:r>
      <w:r w:rsidR="004B6508" w:rsidRPr="00301B0F">
        <w:rPr>
          <w:color w:val="000000" w:themeColor="text1"/>
          <w:lang w:val="en-GB"/>
        </w:rPr>
        <w:t>;”.</w:t>
      </w:r>
    </w:p>
    <w:p w14:paraId="205494D5" w14:textId="013C0678" w:rsidR="004B6508" w:rsidRPr="00301B0F" w:rsidRDefault="00BB7DA1" w:rsidP="003F15A0">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w:t>
      </w:r>
      <w:r w:rsidR="004B6508" w:rsidRPr="00301B0F">
        <w:rPr>
          <w:color w:val="000000" w:themeColor="text1"/>
          <w:lang w:val="en-GB"/>
        </w:rPr>
        <w:t xml:space="preserve"> 5</w:t>
      </w:r>
      <w:r w:rsidR="00AF0AFE" w:rsidRPr="00301B0F">
        <w:rPr>
          <w:color w:val="000000" w:themeColor="text1"/>
          <w:lang w:val="en-GB"/>
        </w:rPr>
        <w:t>0</w:t>
      </w:r>
      <w:r w:rsidR="004B6508" w:rsidRPr="00301B0F">
        <w:rPr>
          <w:color w:val="000000" w:themeColor="text1"/>
          <w:vertAlign w:val="superscript"/>
          <w:lang w:val="en-GB"/>
        </w:rPr>
        <w:t>1</w:t>
      </w:r>
      <w:r w:rsidR="004B6508" w:rsidRPr="00301B0F">
        <w:rPr>
          <w:color w:val="000000" w:themeColor="text1"/>
          <w:lang w:val="en-GB"/>
        </w:rPr>
        <w:t xml:space="preserve"> </w:t>
      </w:r>
      <w:r w:rsidRPr="00301B0F">
        <w:rPr>
          <w:color w:val="000000" w:themeColor="text1"/>
          <w:lang w:val="en-GB"/>
        </w:rPr>
        <w:t>shall be added, reading as follows</w:t>
      </w:r>
      <w:r w:rsidR="004B6508" w:rsidRPr="00301B0F">
        <w:rPr>
          <w:color w:val="000000" w:themeColor="text1"/>
          <w:lang w:val="en-GB"/>
        </w:rPr>
        <w:t>:</w:t>
      </w:r>
    </w:p>
    <w:p w14:paraId="0C87B2D5" w14:textId="2D4ADE7E" w:rsidR="004B6508" w:rsidRPr="00301B0F" w:rsidRDefault="00BB7DA1" w:rsidP="008B6CF4">
      <w:pPr>
        <w:tabs>
          <w:tab w:val="left" w:pos="567"/>
        </w:tabs>
        <w:jc w:val="both"/>
        <w:rPr>
          <w:color w:val="000000" w:themeColor="text1"/>
          <w:lang w:val="en-GB"/>
        </w:rPr>
      </w:pPr>
      <w:r w:rsidRPr="00301B0F">
        <w:rPr>
          <w:color w:val="000000" w:themeColor="text1"/>
          <w:lang w:val="en-GB"/>
        </w:rPr>
        <w:lastRenderedPageBreak/>
        <w:t>“</w:t>
      </w:r>
      <w:r w:rsidR="004B6508" w:rsidRPr="00301B0F">
        <w:rPr>
          <w:b/>
          <w:bCs/>
          <w:color w:val="000000" w:themeColor="text1"/>
          <w:lang w:val="en-GB" w:eastAsia="ro-MD"/>
        </w:rPr>
        <w:t>5</w:t>
      </w:r>
      <w:r w:rsidR="00AF0AFE" w:rsidRPr="00301B0F">
        <w:rPr>
          <w:b/>
          <w:bCs/>
          <w:color w:val="000000" w:themeColor="text1"/>
          <w:lang w:val="en-GB" w:eastAsia="ro-MD"/>
        </w:rPr>
        <w:t>0</w:t>
      </w:r>
      <w:r w:rsidR="004B6508" w:rsidRPr="00301B0F">
        <w:rPr>
          <w:b/>
          <w:bCs/>
          <w:color w:val="000000" w:themeColor="text1"/>
          <w:vertAlign w:val="superscript"/>
          <w:lang w:val="en-GB" w:eastAsia="ro-MD"/>
        </w:rPr>
        <w:t>1</w:t>
      </w:r>
      <w:r w:rsidR="004B6508" w:rsidRPr="00301B0F">
        <w:rPr>
          <w:b/>
          <w:bCs/>
          <w:color w:val="000000" w:themeColor="text1"/>
          <w:lang w:val="en-GB" w:eastAsia="ro-MD"/>
        </w:rPr>
        <w:t>.</w:t>
      </w:r>
      <w:r w:rsidR="004B6508" w:rsidRPr="00301B0F">
        <w:rPr>
          <w:color w:val="000000" w:themeColor="text1"/>
          <w:lang w:val="en-GB" w:eastAsia="ro-MD"/>
        </w:rPr>
        <w:t xml:space="preserve"> </w:t>
      </w:r>
      <w:r w:rsidRPr="00301B0F">
        <w:rPr>
          <w:color w:val="000000" w:themeColor="text1"/>
          <w:lang w:val="en-GB" w:eastAsia="ro-MD"/>
        </w:rPr>
        <w:t>Immovable property qualifies as eligible collateral only if all the requirements set out in Annex 2 of Regulation No 111/2018 are met</w:t>
      </w:r>
      <w:r w:rsidR="00AF0AFE" w:rsidRPr="00301B0F">
        <w:rPr>
          <w:color w:val="000000" w:themeColor="text1"/>
          <w:lang w:val="en-GB" w:eastAsia="ro-MD"/>
        </w:rPr>
        <w:t>.”.</w:t>
      </w:r>
    </w:p>
    <w:p w14:paraId="4374C3B4" w14:textId="7DE78AF2" w:rsidR="00AF0AFE" w:rsidRPr="00301B0F" w:rsidRDefault="00BB7DA1" w:rsidP="003F15A0">
      <w:pPr>
        <w:pStyle w:val="ListParagraph"/>
        <w:numPr>
          <w:ilvl w:val="1"/>
          <w:numId w:val="27"/>
        </w:numPr>
        <w:tabs>
          <w:tab w:val="left" w:pos="567"/>
        </w:tabs>
        <w:spacing w:before="80"/>
        <w:ind w:left="0" w:firstLine="567"/>
        <w:jc w:val="both"/>
        <w:rPr>
          <w:color w:val="000000" w:themeColor="text1"/>
          <w:lang w:val="en-GB"/>
        </w:rPr>
      </w:pPr>
      <w:r w:rsidRPr="00301B0F">
        <w:rPr>
          <w:color w:val="000000" w:themeColor="text1"/>
          <w:lang w:val="en-GB"/>
        </w:rPr>
        <w:t>Sections 2</w:t>
      </w:r>
      <w:r w:rsidRPr="008B6CF4">
        <w:rPr>
          <w:color w:val="000000" w:themeColor="text1"/>
          <w:vertAlign w:val="superscript"/>
          <w:lang w:val="en-GB"/>
        </w:rPr>
        <w:t>1</w:t>
      </w:r>
      <w:r w:rsidRPr="00301B0F">
        <w:rPr>
          <w:color w:val="000000" w:themeColor="text1"/>
          <w:lang w:val="en-GB"/>
        </w:rPr>
        <w:t xml:space="preserve"> and 2</w:t>
      </w:r>
      <w:r w:rsidRPr="008B6CF4">
        <w:rPr>
          <w:color w:val="000000" w:themeColor="text1"/>
          <w:vertAlign w:val="superscript"/>
          <w:lang w:val="en-GB"/>
        </w:rPr>
        <w:t>2</w:t>
      </w:r>
      <w:r w:rsidRPr="00301B0F">
        <w:rPr>
          <w:color w:val="000000" w:themeColor="text1"/>
          <w:lang w:val="en-GB"/>
        </w:rPr>
        <w:t xml:space="preserve"> shall be added to Chapter VI, reading as follows</w:t>
      </w:r>
      <w:r w:rsidR="00AF0AFE" w:rsidRPr="00301B0F">
        <w:rPr>
          <w:color w:val="000000" w:themeColor="text1"/>
          <w:lang w:val="en-GB"/>
        </w:rPr>
        <w:t>:</w:t>
      </w:r>
    </w:p>
    <w:p w14:paraId="064287DF" w14:textId="719D213C" w:rsidR="00962019" w:rsidRPr="00301B0F" w:rsidRDefault="00BB7DA1" w:rsidP="00962019">
      <w:pPr>
        <w:jc w:val="center"/>
        <w:rPr>
          <w:color w:val="000000" w:themeColor="text1"/>
          <w:lang w:val="en-GB" w:eastAsia="ro-MD"/>
        </w:rPr>
      </w:pPr>
      <w:r w:rsidRPr="00301B0F">
        <w:rPr>
          <w:color w:val="000000" w:themeColor="text1"/>
          <w:lang w:val="en-GB"/>
        </w:rPr>
        <w:t>“</w:t>
      </w:r>
      <w:r w:rsidRPr="00301B0F">
        <w:rPr>
          <w:b/>
          <w:bCs/>
          <w:i/>
          <w:iCs/>
          <w:color w:val="000000" w:themeColor="text1"/>
          <w:lang w:val="en-GB" w:eastAsia="ro-MD"/>
        </w:rPr>
        <w:t>Section</w:t>
      </w:r>
      <w:r w:rsidR="00962019" w:rsidRPr="00301B0F">
        <w:rPr>
          <w:b/>
          <w:bCs/>
          <w:i/>
          <w:iCs/>
          <w:color w:val="000000" w:themeColor="text1"/>
          <w:lang w:val="en-GB" w:eastAsia="ro-MD"/>
        </w:rPr>
        <w:t xml:space="preserve"> 2</w:t>
      </w:r>
      <w:r w:rsidR="00962019" w:rsidRPr="00301B0F">
        <w:rPr>
          <w:b/>
          <w:bCs/>
          <w:i/>
          <w:iCs/>
          <w:color w:val="000000" w:themeColor="text1"/>
          <w:vertAlign w:val="superscript"/>
          <w:lang w:val="en-GB" w:eastAsia="ro-MD"/>
        </w:rPr>
        <w:t>1</w:t>
      </w:r>
    </w:p>
    <w:p w14:paraId="416330E8" w14:textId="21593359" w:rsidR="00962019" w:rsidRPr="00301B0F" w:rsidRDefault="00962019" w:rsidP="00BB7DA1">
      <w:pPr>
        <w:jc w:val="center"/>
        <w:rPr>
          <w:b/>
          <w:bCs/>
          <w:i/>
          <w:iCs/>
          <w:color w:val="000000" w:themeColor="text1"/>
          <w:lang w:val="en-GB" w:eastAsia="ro-MD"/>
        </w:rPr>
      </w:pPr>
      <w:r w:rsidRPr="00301B0F">
        <w:rPr>
          <w:b/>
          <w:bCs/>
          <w:i/>
          <w:iCs/>
          <w:color w:val="000000" w:themeColor="text1"/>
          <w:lang w:val="en-GB" w:eastAsia="ro-MD"/>
        </w:rPr>
        <w:t> </w:t>
      </w:r>
      <w:r w:rsidR="00BB7DA1" w:rsidRPr="00301B0F">
        <w:rPr>
          <w:b/>
          <w:bCs/>
          <w:i/>
          <w:iCs/>
          <w:color w:val="000000" w:themeColor="text1"/>
          <w:lang w:val="en-GB" w:eastAsia="ro-MD"/>
        </w:rPr>
        <w:t>Requirements for receivables</w:t>
      </w:r>
    </w:p>
    <w:p w14:paraId="15580548" w14:textId="762EFBB2" w:rsidR="00962019" w:rsidRPr="00301B0F" w:rsidRDefault="00962019" w:rsidP="00962019">
      <w:pPr>
        <w:jc w:val="both"/>
        <w:rPr>
          <w:color w:val="000000" w:themeColor="text1"/>
          <w:lang w:val="en-GB" w:eastAsia="ro-MD"/>
        </w:rPr>
      </w:pPr>
      <w:r w:rsidRPr="00301B0F">
        <w:rPr>
          <w:b/>
          <w:bCs/>
          <w:color w:val="000000" w:themeColor="text1"/>
          <w:lang w:val="en-GB" w:eastAsia="ro-MD"/>
        </w:rPr>
        <w:t>50</w:t>
      </w:r>
      <w:r w:rsidRPr="00301B0F">
        <w:rPr>
          <w:b/>
          <w:bCs/>
          <w:color w:val="000000" w:themeColor="text1"/>
          <w:vertAlign w:val="superscript"/>
          <w:lang w:val="en-GB" w:eastAsia="ro-MD"/>
        </w:rPr>
        <w:t>2</w:t>
      </w:r>
      <w:r w:rsidRPr="00301B0F">
        <w:rPr>
          <w:b/>
          <w:bCs/>
          <w:color w:val="000000" w:themeColor="text1"/>
          <w:lang w:val="en-GB" w:eastAsia="ro-MD"/>
        </w:rPr>
        <w:t>.</w:t>
      </w:r>
      <w:r w:rsidRPr="00301B0F">
        <w:rPr>
          <w:color w:val="000000" w:themeColor="text1"/>
          <w:lang w:val="en-GB" w:eastAsia="ro-MD"/>
        </w:rPr>
        <w:t xml:space="preserve"> </w:t>
      </w:r>
      <w:r w:rsidR="00BB7DA1" w:rsidRPr="00301B0F">
        <w:rPr>
          <w:color w:val="000000" w:themeColor="text1"/>
          <w:lang w:val="en-GB" w:eastAsia="ro-MD"/>
        </w:rPr>
        <w:t xml:space="preserve">Receivables shall qualify as eligible collateral where all the requirements laid down in paragraphs </w:t>
      </w:r>
      <w:r w:rsidRPr="00301B0F">
        <w:rPr>
          <w:color w:val="000000" w:themeColor="text1"/>
          <w:lang w:val="en-GB" w:eastAsia="ro-MD"/>
        </w:rPr>
        <w:t>5</w:t>
      </w:r>
      <w:r w:rsidR="00F863E6" w:rsidRPr="00301B0F">
        <w:rPr>
          <w:color w:val="000000" w:themeColor="text1"/>
          <w:lang w:val="en-GB" w:eastAsia="ro-MD"/>
        </w:rPr>
        <w:t>0</w:t>
      </w:r>
      <w:r w:rsidRPr="00301B0F">
        <w:rPr>
          <w:color w:val="000000" w:themeColor="text1"/>
          <w:vertAlign w:val="superscript"/>
          <w:lang w:val="en-GB" w:eastAsia="ro-MD"/>
        </w:rPr>
        <w:t>3</w:t>
      </w:r>
      <w:r w:rsidRPr="00301B0F">
        <w:rPr>
          <w:color w:val="000000" w:themeColor="text1"/>
          <w:lang w:val="en-GB" w:eastAsia="ro-MD"/>
        </w:rPr>
        <w:t xml:space="preserve"> </w:t>
      </w:r>
      <w:r w:rsidR="00BB7DA1" w:rsidRPr="00301B0F">
        <w:rPr>
          <w:color w:val="000000" w:themeColor="text1"/>
          <w:lang w:val="en-GB" w:eastAsia="ro-MD"/>
        </w:rPr>
        <w:t xml:space="preserve">and </w:t>
      </w:r>
      <w:r w:rsidRPr="00301B0F">
        <w:rPr>
          <w:color w:val="000000" w:themeColor="text1"/>
          <w:lang w:val="en-GB" w:eastAsia="ro-MD"/>
        </w:rPr>
        <w:t>5</w:t>
      </w:r>
      <w:r w:rsidR="00F863E6" w:rsidRPr="00301B0F">
        <w:rPr>
          <w:color w:val="000000" w:themeColor="text1"/>
          <w:lang w:val="en-GB" w:eastAsia="ro-MD"/>
        </w:rPr>
        <w:t>0</w:t>
      </w:r>
      <w:r w:rsidRPr="00301B0F">
        <w:rPr>
          <w:color w:val="000000" w:themeColor="text1"/>
          <w:vertAlign w:val="superscript"/>
          <w:lang w:val="en-GB" w:eastAsia="ro-MD"/>
        </w:rPr>
        <w:t>4</w:t>
      </w:r>
      <w:r w:rsidR="00BB7DA1" w:rsidRPr="00301B0F">
        <w:rPr>
          <w:color w:val="000000" w:themeColor="text1"/>
          <w:lang w:val="en-GB" w:eastAsia="ro-MD"/>
        </w:rPr>
        <w:t xml:space="preserve"> are met.</w:t>
      </w:r>
    </w:p>
    <w:p w14:paraId="6CCF5C31" w14:textId="4D4295C6" w:rsidR="00962019" w:rsidRPr="00301B0F" w:rsidRDefault="00962019" w:rsidP="00962019">
      <w:pPr>
        <w:jc w:val="both"/>
        <w:rPr>
          <w:color w:val="000000" w:themeColor="text1"/>
          <w:lang w:val="en-GB" w:eastAsia="ro-MD"/>
        </w:rPr>
      </w:pPr>
      <w:r w:rsidRPr="00301B0F">
        <w:rPr>
          <w:b/>
          <w:bCs/>
          <w:color w:val="000000" w:themeColor="text1"/>
          <w:lang w:val="en-GB" w:eastAsia="ro-MD"/>
        </w:rPr>
        <w:t>50</w:t>
      </w:r>
      <w:r w:rsidRPr="00301B0F">
        <w:rPr>
          <w:b/>
          <w:bCs/>
          <w:color w:val="000000" w:themeColor="text1"/>
          <w:vertAlign w:val="superscript"/>
          <w:lang w:val="en-GB" w:eastAsia="ro-MD"/>
        </w:rPr>
        <w:t>3</w:t>
      </w:r>
      <w:r w:rsidRPr="00301B0F">
        <w:rPr>
          <w:b/>
          <w:bCs/>
          <w:color w:val="000000" w:themeColor="text1"/>
          <w:lang w:val="en-GB" w:eastAsia="ro-MD"/>
        </w:rPr>
        <w:t>.</w:t>
      </w:r>
      <w:r w:rsidRPr="00301B0F">
        <w:rPr>
          <w:color w:val="000000" w:themeColor="text1"/>
          <w:lang w:val="en-GB" w:eastAsia="ro-MD"/>
        </w:rPr>
        <w:t xml:space="preserve"> </w:t>
      </w:r>
      <w:r w:rsidR="00CF46DF" w:rsidRPr="00301B0F">
        <w:rPr>
          <w:color w:val="000000" w:themeColor="text1"/>
          <w:lang w:val="en-GB" w:eastAsia="ro-MD"/>
        </w:rPr>
        <w:t>The following requirements on legal certainty shall be met</w:t>
      </w:r>
      <w:r w:rsidRPr="00301B0F">
        <w:rPr>
          <w:color w:val="000000" w:themeColor="text1"/>
          <w:lang w:val="en-GB" w:eastAsia="ro-MD"/>
        </w:rPr>
        <w:t>:</w:t>
      </w:r>
    </w:p>
    <w:p w14:paraId="6A10B71D" w14:textId="1EA3B318"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1) </w:t>
      </w:r>
      <w:r w:rsidR="00CF46DF" w:rsidRPr="00301B0F">
        <w:rPr>
          <w:color w:val="000000" w:themeColor="text1"/>
          <w:lang w:val="en-GB" w:eastAsia="ro-MD"/>
        </w:rPr>
        <w:t>he legal mechanism by which the collateral is provided to a bank shall be robust and effective and ensure that that bank has clear rights over the collateral including the right to the proceeds from the sale of the collateral</w:t>
      </w:r>
      <w:r w:rsidRPr="00301B0F">
        <w:rPr>
          <w:color w:val="000000" w:themeColor="text1"/>
          <w:lang w:val="en-GB" w:eastAsia="ro-MD"/>
        </w:rPr>
        <w:t>;</w:t>
      </w:r>
    </w:p>
    <w:p w14:paraId="1E4DC25B" w14:textId="75DA545B"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2) </w:t>
      </w:r>
      <w:r w:rsidR="00CF46DF" w:rsidRPr="00301B0F">
        <w:rPr>
          <w:color w:val="000000" w:themeColor="text1"/>
          <w:lang w:val="en-GB" w:eastAsia="ro-MD"/>
        </w:rPr>
        <w:t xml:space="preserve">banks must take all steps necessary to meet the requirements in respect of the enforceability of security interest in all relevant jurisdictions. Lending banks must have </w:t>
      </w:r>
      <w:proofErr w:type="gramStart"/>
      <w:r w:rsidR="00CF46DF" w:rsidRPr="00301B0F">
        <w:rPr>
          <w:color w:val="000000" w:themeColor="text1"/>
          <w:lang w:val="en-GB" w:eastAsia="ro-MD"/>
        </w:rPr>
        <w:t>a first priority</w:t>
      </w:r>
      <w:proofErr w:type="gramEnd"/>
      <w:r w:rsidR="00CF46DF" w:rsidRPr="00301B0F">
        <w:rPr>
          <w:color w:val="000000" w:themeColor="text1"/>
          <w:lang w:val="en-GB" w:eastAsia="ro-MD"/>
        </w:rPr>
        <w:t xml:space="preserve"> right over the collateral, although such rights may be subordinated to the rights of privileged creditors under applicable law</w:t>
      </w:r>
      <w:r w:rsidRPr="00301B0F">
        <w:rPr>
          <w:color w:val="000000" w:themeColor="text1"/>
          <w:lang w:val="en-GB" w:eastAsia="ro-MD"/>
        </w:rPr>
        <w:t>;</w:t>
      </w:r>
    </w:p>
    <w:p w14:paraId="2825E956" w14:textId="7654F488"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3) </w:t>
      </w:r>
      <w:r w:rsidR="00CF46DF" w:rsidRPr="00301B0F">
        <w:rPr>
          <w:color w:val="000000" w:themeColor="text1"/>
          <w:lang w:val="en-GB" w:eastAsia="ro-MD"/>
        </w:rPr>
        <w:t>banks shall have conducted sufficient legal review confirming the enforceability of the collateral arrangements in all relevant jurisdictions</w:t>
      </w:r>
      <w:r w:rsidRPr="00301B0F">
        <w:rPr>
          <w:color w:val="000000" w:themeColor="text1"/>
          <w:lang w:val="en-GB" w:eastAsia="ro-MD"/>
        </w:rPr>
        <w:t>;</w:t>
      </w:r>
    </w:p>
    <w:p w14:paraId="51755EA2" w14:textId="55375C9E"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4) </w:t>
      </w:r>
      <w:r w:rsidR="00CF46DF" w:rsidRPr="00301B0F">
        <w:rPr>
          <w:color w:val="000000" w:themeColor="text1"/>
          <w:lang w:val="en-GB" w:eastAsia="ro-MD"/>
        </w:rPr>
        <w:t>banks shall properly document their collateral arrangements and shall have in place clear and robust procedures for the timely collection of collateral</w:t>
      </w:r>
      <w:r w:rsidRPr="00301B0F">
        <w:rPr>
          <w:color w:val="000000" w:themeColor="text1"/>
          <w:lang w:val="en-GB" w:eastAsia="ro-MD"/>
        </w:rPr>
        <w:t>;</w:t>
      </w:r>
    </w:p>
    <w:p w14:paraId="1EBC5741" w14:textId="285C5B78"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5) </w:t>
      </w:r>
      <w:r w:rsidR="00C3598B" w:rsidRPr="00301B0F">
        <w:rPr>
          <w:color w:val="000000" w:themeColor="text1"/>
          <w:lang w:val="en-GB" w:eastAsia="ro-MD"/>
        </w:rPr>
        <w:t>banks shall have in place procedures that ensure that any legal conditions required for declaring the default of a borrower and timely collection of collateral are observed</w:t>
      </w:r>
      <w:r w:rsidRPr="00301B0F">
        <w:rPr>
          <w:color w:val="000000" w:themeColor="text1"/>
          <w:lang w:val="en-GB" w:eastAsia="ro-MD"/>
        </w:rPr>
        <w:t>;</w:t>
      </w:r>
    </w:p>
    <w:p w14:paraId="3A6C0964" w14:textId="640139BD"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6) </w:t>
      </w:r>
      <w:r w:rsidR="00C3598B" w:rsidRPr="00301B0F">
        <w:rPr>
          <w:color w:val="000000" w:themeColor="text1"/>
          <w:lang w:val="en-GB" w:eastAsia="ro-MD"/>
        </w:rPr>
        <w:t xml:space="preserve">in the event of a borrower's financial distress or default, banks shall have legal authority to sell or assign the receivables to other parties without consent of the </w:t>
      </w:r>
      <w:proofErr w:type="gramStart"/>
      <w:r w:rsidR="00C3598B" w:rsidRPr="00301B0F">
        <w:rPr>
          <w:color w:val="000000" w:themeColor="text1"/>
          <w:lang w:val="en-GB" w:eastAsia="ro-MD"/>
        </w:rPr>
        <w:t>receivables</w:t>
      </w:r>
      <w:proofErr w:type="gramEnd"/>
      <w:r w:rsidR="00C3598B" w:rsidRPr="00301B0F">
        <w:rPr>
          <w:color w:val="000000" w:themeColor="text1"/>
          <w:lang w:val="en-GB" w:eastAsia="ro-MD"/>
        </w:rPr>
        <w:t xml:space="preserve"> obligors</w:t>
      </w:r>
      <w:r w:rsidRPr="00301B0F">
        <w:rPr>
          <w:color w:val="000000" w:themeColor="text1"/>
          <w:lang w:val="en-GB" w:eastAsia="ro-MD"/>
        </w:rPr>
        <w:t>.</w:t>
      </w:r>
    </w:p>
    <w:p w14:paraId="5DB124AE" w14:textId="14FDC546" w:rsidR="00962019" w:rsidRPr="00301B0F" w:rsidRDefault="00962019" w:rsidP="00962019">
      <w:pPr>
        <w:jc w:val="both"/>
        <w:rPr>
          <w:color w:val="000000" w:themeColor="text1"/>
          <w:lang w:val="en-GB" w:eastAsia="ro-MD"/>
        </w:rPr>
      </w:pPr>
      <w:r w:rsidRPr="00301B0F">
        <w:rPr>
          <w:b/>
          <w:bCs/>
          <w:color w:val="000000" w:themeColor="text1"/>
          <w:lang w:val="en-GB" w:eastAsia="ro-MD"/>
        </w:rPr>
        <w:t>50</w:t>
      </w:r>
      <w:r w:rsidRPr="00301B0F">
        <w:rPr>
          <w:b/>
          <w:bCs/>
          <w:color w:val="000000" w:themeColor="text1"/>
          <w:vertAlign w:val="superscript"/>
          <w:lang w:val="en-GB" w:eastAsia="ro-MD"/>
        </w:rPr>
        <w:t>4</w:t>
      </w:r>
      <w:r w:rsidRPr="00301B0F">
        <w:rPr>
          <w:b/>
          <w:bCs/>
          <w:color w:val="000000" w:themeColor="text1"/>
          <w:lang w:val="en-GB" w:eastAsia="ro-MD"/>
        </w:rPr>
        <w:t>.</w:t>
      </w:r>
      <w:r w:rsidRPr="00301B0F">
        <w:rPr>
          <w:color w:val="000000" w:themeColor="text1"/>
          <w:lang w:val="en-GB" w:eastAsia="ro-MD"/>
        </w:rPr>
        <w:t xml:space="preserve"> </w:t>
      </w:r>
      <w:r w:rsidR="00C3598B" w:rsidRPr="00301B0F">
        <w:rPr>
          <w:color w:val="000000" w:themeColor="text1"/>
          <w:lang w:val="en-GB" w:eastAsia="ro-MD"/>
        </w:rPr>
        <w:t>The following requirements on risk management shall be met</w:t>
      </w:r>
      <w:r w:rsidRPr="00301B0F">
        <w:rPr>
          <w:color w:val="000000" w:themeColor="text1"/>
          <w:lang w:val="en-GB" w:eastAsia="ro-MD"/>
        </w:rPr>
        <w:t>:</w:t>
      </w:r>
    </w:p>
    <w:p w14:paraId="6FD921DE" w14:textId="39D48931"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1) </w:t>
      </w:r>
      <w:r w:rsidR="00C3598B" w:rsidRPr="00301B0F">
        <w:rPr>
          <w:color w:val="000000" w:themeColor="text1"/>
          <w:lang w:val="en-GB" w:eastAsia="ro-MD"/>
        </w:rPr>
        <w:t>a bank shall have in place a sound process for determining the credit risk associated with the receivables. Such a process shall include analyses of a borrower's business and industry and the types of customers with whom that borrower does business. Where the bank relies on its borrowers to ascertain the credit risk of the customers, the bank shall review the borrowers' credit practices to ascertain their soundness and credibility</w:t>
      </w:r>
      <w:r w:rsidRPr="00301B0F">
        <w:rPr>
          <w:color w:val="000000" w:themeColor="text1"/>
          <w:lang w:val="en-GB" w:eastAsia="ro-MD"/>
        </w:rPr>
        <w:t>;</w:t>
      </w:r>
    </w:p>
    <w:p w14:paraId="77F528BF" w14:textId="2DF54693"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2) </w:t>
      </w:r>
      <w:r w:rsidR="00C3598B" w:rsidRPr="00301B0F">
        <w:rPr>
          <w:color w:val="000000" w:themeColor="text1"/>
          <w:lang w:val="en-GB" w:eastAsia="ro-MD"/>
        </w:rPr>
        <w:t>the difference between the amount of the exposure and the value of the receivables shall reflect all appropriate factors, including the cost of collection, concentration within the receivables pool pledged by an individual borrower, and potential concentration risk within the bank's total exposures beyond that controlled by the bank's general methodology. Banks shall maintain a continuous monitoring process appropriate to the receivables. They shall also review, on a regular basis, compliance with loan covenants, environmental restrictions, and other legal requirements</w:t>
      </w:r>
      <w:r w:rsidRPr="00301B0F">
        <w:rPr>
          <w:color w:val="000000" w:themeColor="text1"/>
          <w:lang w:val="en-GB" w:eastAsia="ro-MD"/>
        </w:rPr>
        <w:t>;</w:t>
      </w:r>
    </w:p>
    <w:p w14:paraId="13292532" w14:textId="7E4DECB3"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3) </w:t>
      </w:r>
      <w:r w:rsidR="00C3598B" w:rsidRPr="00301B0F">
        <w:rPr>
          <w:color w:val="000000" w:themeColor="text1"/>
          <w:lang w:val="en-GB" w:eastAsia="ro-MD"/>
        </w:rPr>
        <w:t xml:space="preserve">receivables pledged by a borrower shall be diversified and not be unduly correlated with that borrower. Where there is material positive correlation, banks shall </w:t>
      </w:r>
      <w:proofErr w:type="gramStart"/>
      <w:r w:rsidR="00C3598B" w:rsidRPr="00301B0F">
        <w:rPr>
          <w:color w:val="000000" w:themeColor="text1"/>
          <w:lang w:val="en-GB" w:eastAsia="ro-MD"/>
        </w:rPr>
        <w:t>take into account</w:t>
      </w:r>
      <w:proofErr w:type="gramEnd"/>
      <w:r w:rsidR="00C3598B" w:rsidRPr="00301B0F">
        <w:rPr>
          <w:color w:val="000000" w:themeColor="text1"/>
          <w:lang w:val="en-GB" w:eastAsia="ro-MD"/>
        </w:rPr>
        <w:t xml:space="preserve"> the attendant risks in the setting of margins for the collateral pool as a whole</w:t>
      </w:r>
      <w:r w:rsidRPr="00301B0F">
        <w:rPr>
          <w:color w:val="000000" w:themeColor="text1"/>
          <w:lang w:val="en-GB" w:eastAsia="ro-MD"/>
        </w:rPr>
        <w:t>;</w:t>
      </w:r>
    </w:p>
    <w:p w14:paraId="2C84A1BE" w14:textId="4970D293"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4) </w:t>
      </w:r>
      <w:r w:rsidR="00A94D29" w:rsidRPr="00301B0F">
        <w:rPr>
          <w:color w:val="000000" w:themeColor="text1"/>
          <w:lang w:val="en-GB" w:eastAsia="ro-MD"/>
        </w:rPr>
        <w:t>banks shall not use receivables from affiliates of a borrower, including subsidiaries and employees, as eligible credit protection</w:t>
      </w:r>
      <w:r w:rsidRPr="00301B0F">
        <w:rPr>
          <w:color w:val="000000" w:themeColor="text1"/>
          <w:lang w:val="en-GB" w:eastAsia="ro-MD"/>
        </w:rPr>
        <w:t>;</w:t>
      </w:r>
    </w:p>
    <w:p w14:paraId="773DC0CD" w14:textId="08A459C9"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5) </w:t>
      </w:r>
      <w:r w:rsidR="00A94D29" w:rsidRPr="00301B0F">
        <w:rPr>
          <w:color w:val="000000" w:themeColor="text1"/>
          <w:lang w:val="en-GB" w:eastAsia="ro-MD"/>
        </w:rPr>
        <w:t>banks shall have in place a documented process for collecting receivable payments in distressed situations. Banks shall have in place the requisite facilities for collection even when they normally rely on their borrowers for collections</w:t>
      </w:r>
      <w:r w:rsidRPr="00301B0F">
        <w:rPr>
          <w:color w:val="000000" w:themeColor="text1"/>
          <w:lang w:val="en-GB" w:eastAsia="ro-MD"/>
        </w:rPr>
        <w:t>.</w:t>
      </w:r>
    </w:p>
    <w:p w14:paraId="696CC671" w14:textId="6D572084" w:rsidR="00962019" w:rsidRPr="00301B0F" w:rsidRDefault="00A94D29" w:rsidP="00DD0BDA">
      <w:pPr>
        <w:spacing w:before="120"/>
        <w:jc w:val="center"/>
        <w:rPr>
          <w:color w:val="000000" w:themeColor="text1"/>
          <w:lang w:val="en-GB" w:eastAsia="ro-MD"/>
        </w:rPr>
      </w:pPr>
      <w:r w:rsidRPr="00301B0F">
        <w:rPr>
          <w:b/>
          <w:bCs/>
          <w:i/>
          <w:iCs/>
          <w:color w:val="000000" w:themeColor="text1"/>
          <w:lang w:val="en-GB" w:eastAsia="ro-MD"/>
        </w:rPr>
        <w:t>Section</w:t>
      </w:r>
      <w:r w:rsidR="00962019" w:rsidRPr="00301B0F">
        <w:rPr>
          <w:b/>
          <w:bCs/>
          <w:i/>
          <w:iCs/>
          <w:color w:val="000000" w:themeColor="text1"/>
          <w:lang w:val="en-GB" w:eastAsia="ro-MD"/>
        </w:rPr>
        <w:t xml:space="preserve"> 2</w:t>
      </w:r>
      <w:r w:rsidR="00962019" w:rsidRPr="00301B0F">
        <w:rPr>
          <w:b/>
          <w:bCs/>
          <w:i/>
          <w:iCs/>
          <w:color w:val="000000" w:themeColor="text1"/>
          <w:vertAlign w:val="superscript"/>
          <w:lang w:val="en-GB" w:eastAsia="ro-MD"/>
        </w:rPr>
        <w:t>2</w:t>
      </w:r>
    </w:p>
    <w:p w14:paraId="0D05DA09" w14:textId="5982CF2F" w:rsidR="00962019" w:rsidRPr="00301B0F" w:rsidRDefault="00962019" w:rsidP="00DD0BDA">
      <w:pPr>
        <w:spacing w:after="120"/>
        <w:jc w:val="center"/>
        <w:rPr>
          <w:color w:val="000000" w:themeColor="text1"/>
          <w:lang w:val="en-GB" w:eastAsia="ro-MD"/>
        </w:rPr>
      </w:pPr>
      <w:r w:rsidRPr="00301B0F">
        <w:rPr>
          <w:b/>
          <w:bCs/>
          <w:i/>
          <w:iCs/>
          <w:color w:val="000000" w:themeColor="text1"/>
          <w:lang w:val="en-GB" w:eastAsia="ro-MD"/>
        </w:rPr>
        <w:t xml:space="preserve">  </w:t>
      </w:r>
      <w:r w:rsidR="00A94D29" w:rsidRPr="00301B0F">
        <w:rPr>
          <w:b/>
          <w:bCs/>
          <w:i/>
          <w:iCs/>
          <w:color w:val="000000" w:themeColor="text1"/>
          <w:lang w:val="en-GB" w:eastAsia="ro-MD"/>
        </w:rPr>
        <w:t>Requirements for other physical collateral and requirements for treating lease exposures as collateralised</w:t>
      </w:r>
    </w:p>
    <w:p w14:paraId="348A3DD9" w14:textId="22B0E771" w:rsidR="00962019" w:rsidRPr="00301B0F" w:rsidRDefault="00962019" w:rsidP="00962019">
      <w:pPr>
        <w:jc w:val="both"/>
        <w:rPr>
          <w:color w:val="000000" w:themeColor="text1"/>
          <w:lang w:val="en-GB" w:eastAsia="ro-MD"/>
        </w:rPr>
      </w:pPr>
      <w:r w:rsidRPr="00301B0F">
        <w:rPr>
          <w:b/>
          <w:bCs/>
          <w:color w:val="000000" w:themeColor="text1"/>
          <w:lang w:val="en-GB" w:eastAsia="ro-MD"/>
        </w:rPr>
        <w:lastRenderedPageBreak/>
        <w:t>50</w:t>
      </w:r>
      <w:r w:rsidRPr="00301B0F">
        <w:rPr>
          <w:b/>
          <w:bCs/>
          <w:color w:val="000000" w:themeColor="text1"/>
          <w:vertAlign w:val="superscript"/>
          <w:lang w:val="en-GB" w:eastAsia="ro-MD"/>
        </w:rPr>
        <w:t>5</w:t>
      </w:r>
      <w:r w:rsidRPr="00301B0F">
        <w:rPr>
          <w:b/>
          <w:bCs/>
          <w:color w:val="000000" w:themeColor="text1"/>
          <w:lang w:val="en-GB" w:eastAsia="ro-MD"/>
        </w:rPr>
        <w:t>.</w:t>
      </w:r>
      <w:r w:rsidRPr="00301B0F">
        <w:rPr>
          <w:color w:val="000000" w:themeColor="text1"/>
          <w:lang w:val="en-GB" w:eastAsia="ro-MD"/>
        </w:rPr>
        <w:t xml:space="preserve"> </w:t>
      </w:r>
      <w:r w:rsidR="00A94D29" w:rsidRPr="00301B0F">
        <w:rPr>
          <w:color w:val="000000" w:themeColor="text1"/>
          <w:lang w:val="en-GB" w:eastAsia="ro-MD"/>
        </w:rPr>
        <w:t>Physical collateral other than immovable property collateral shall qualify as eligible collateral under the IRB Approach where all the following conditions are met</w:t>
      </w:r>
      <w:r w:rsidRPr="00301B0F">
        <w:rPr>
          <w:color w:val="000000" w:themeColor="text1"/>
          <w:lang w:val="en-GB" w:eastAsia="ro-MD"/>
        </w:rPr>
        <w:t>:</w:t>
      </w:r>
      <w:r w:rsidR="00A94D29" w:rsidRPr="00301B0F">
        <w:rPr>
          <w:color w:val="000000" w:themeColor="text1"/>
          <w:lang w:val="en-GB" w:eastAsia="ro-MD"/>
        </w:rPr>
        <w:t xml:space="preserve"> </w:t>
      </w:r>
    </w:p>
    <w:p w14:paraId="3673789D" w14:textId="7BFA8E11"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1) </w:t>
      </w:r>
      <w:r w:rsidR="00A94D29" w:rsidRPr="00301B0F">
        <w:rPr>
          <w:color w:val="000000" w:themeColor="text1"/>
          <w:lang w:val="en-GB" w:eastAsia="ro-MD"/>
        </w:rPr>
        <w:t>the collateral arrangement under which the physical collateral is provided to a bank shall be legally effective and enforceable in all relevant jurisdictions and shall enable that bank to realise the value of the collateral within a reasonable timeframe</w:t>
      </w:r>
      <w:r w:rsidRPr="00301B0F">
        <w:rPr>
          <w:color w:val="000000" w:themeColor="text1"/>
          <w:lang w:val="en-GB" w:eastAsia="ro-MD"/>
        </w:rPr>
        <w:t>;</w:t>
      </w:r>
    </w:p>
    <w:p w14:paraId="06E6DD28" w14:textId="16C3CAB9"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2) </w:t>
      </w:r>
      <w:r w:rsidR="00A94D29" w:rsidRPr="00301B0F">
        <w:rPr>
          <w:color w:val="000000" w:themeColor="text1"/>
          <w:lang w:val="en-GB" w:eastAsia="ro-MD"/>
        </w:rPr>
        <w:t xml:space="preserve">with the sole exception of permissible </w:t>
      </w:r>
      <w:proofErr w:type="gramStart"/>
      <w:r w:rsidR="00A94D29" w:rsidRPr="00301B0F">
        <w:rPr>
          <w:color w:val="000000" w:themeColor="text1"/>
          <w:lang w:val="en-GB" w:eastAsia="ro-MD"/>
        </w:rPr>
        <w:t>first priority</w:t>
      </w:r>
      <w:proofErr w:type="gramEnd"/>
      <w:r w:rsidR="00A94D29" w:rsidRPr="00301B0F">
        <w:rPr>
          <w:color w:val="000000" w:themeColor="text1"/>
          <w:lang w:val="en-GB" w:eastAsia="ro-MD"/>
        </w:rPr>
        <w:t xml:space="preserve"> claims referred to in paragraph </w:t>
      </w:r>
      <w:r w:rsidRPr="00301B0F">
        <w:rPr>
          <w:color w:val="000000" w:themeColor="text1"/>
          <w:lang w:val="en-GB" w:eastAsia="ro-MD"/>
        </w:rPr>
        <w:t>5</w:t>
      </w:r>
      <w:r w:rsidR="00A669CB" w:rsidRPr="00301B0F">
        <w:rPr>
          <w:color w:val="000000" w:themeColor="text1"/>
          <w:lang w:val="en-GB" w:eastAsia="ro-MD"/>
        </w:rPr>
        <w:t>0</w:t>
      </w:r>
      <w:r w:rsidRPr="00301B0F">
        <w:rPr>
          <w:color w:val="000000" w:themeColor="text1"/>
          <w:vertAlign w:val="superscript"/>
          <w:lang w:val="en-GB" w:eastAsia="ro-MD"/>
        </w:rPr>
        <w:t>3</w:t>
      </w:r>
      <w:r w:rsidRPr="00301B0F">
        <w:rPr>
          <w:color w:val="000000" w:themeColor="text1"/>
          <w:lang w:val="en-GB" w:eastAsia="ro-MD"/>
        </w:rPr>
        <w:t xml:space="preserve"> sub</w:t>
      </w:r>
      <w:r w:rsidR="00A94D29" w:rsidRPr="00301B0F">
        <w:rPr>
          <w:color w:val="000000" w:themeColor="text1"/>
          <w:lang w:val="en-GB" w:eastAsia="ro-MD"/>
        </w:rPr>
        <w:t>-paragraph</w:t>
      </w:r>
      <w:r w:rsidRPr="00301B0F">
        <w:rPr>
          <w:color w:val="000000" w:themeColor="text1"/>
          <w:lang w:val="en-GB" w:eastAsia="ro-MD"/>
        </w:rPr>
        <w:t xml:space="preserve"> 2), </w:t>
      </w:r>
      <w:r w:rsidR="00A94D29" w:rsidRPr="00301B0F">
        <w:rPr>
          <w:color w:val="000000" w:themeColor="text1"/>
          <w:lang w:val="en-GB" w:eastAsia="ro-MD"/>
        </w:rPr>
        <w:t>only first liens on, or charges over, collateral shall qualify as eligible collateral and a bank shall have priority over all other lenders to the realised proceeds of the collateral</w:t>
      </w:r>
      <w:r w:rsidRPr="00301B0F">
        <w:rPr>
          <w:color w:val="000000" w:themeColor="text1"/>
          <w:lang w:val="en-GB" w:eastAsia="ro-MD"/>
        </w:rPr>
        <w:t>;</w:t>
      </w:r>
    </w:p>
    <w:p w14:paraId="61BEEAE5" w14:textId="26942F95"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3) </w:t>
      </w:r>
      <w:r w:rsidR="00A94D29" w:rsidRPr="00301B0F">
        <w:rPr>
          <w:color w:val="000000" w:themeColor="text1"/>
          <w:lang w:val="en-GB" w:eastAsia="ro-MD"/>
        </w:rPr>
        <w:t>banks shall monitor the value of the collateral on a frequent basis and at least once every year. Banks shall carry out more frequent monitoring where the market is subject to significant changes in conditions</w:t>
      </w:r>
      <w:r w:rsidRPr="00301B0F">
        <w:rPr>
          <w:color w:val="000000" w:themeColor="text1"/>
          <w:lang w:val="en-GB" w:eastAsia="ro-MD"/>
        </w:rPr>
        <w:t>;</w:t>
      </w:r>
    </w:p>
    <w:p w14:paraId="74464933" w14:textId="6671667E"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4) </w:t>
      </w:r>
      <w:r w:rsidR="00023468" w:rsidRPr="00301B0F">
        <w:rPr>
          <w:color w:val="000000" w:themeColor="text1"/>
          <w:lang w:val="en-GB" w:eastAsia="ro-MD"/>
        </w:rPr>
        <w:t>the loan agreement shall include detailed descriptions of the collateral as well as detailed specifications of the manner and frequency of revaluation</w:t>
      </w:r>
      <w:r w:rsidRPr="00301B0F">
        <w:rPr>
          <w:color w:val="000000" w:themeColor="text1"/>
          <w:lang w:val="en-GB" w:eastAsia="ro-MD"/>
        </w:rPr>
        <w:t>;</w:t>
      </w:r>
      <w:r w:rsidR="00023468" w:rsidRPr="00301B0F">
        <w:rPr>
          <w:color w:val="000000" w:themeColor="text1"/>
          <w:lang w:val="en-GB" w:eastAsia="ro-MD"/>
        </w:rPr>
        <w:t xml:space="preserve"> </w:t>
      </w:r>
    </w:p>
    <w:p w14:paraId="47732CF4" w14:textId="755EDE8A"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5) </w:t>
      </w:r>
      <w:r w:rsidR="00023468" w:rsidRPr="00301B0F">
        <w:rPr>
          <w:color w:val="000000" w:themeColor="text1"/>
          <w:lang w:val="en-GB" w:eastAsia="ro-MD"/>
        </w:rPr>
        <w:t>banks shall clearly document in internal credit policies and procedures available for examination the types of physical collateral they accept and the policies and practices they have in place in respect of the appropriate amount of each type of collateral relative to the exposure amount</w:t>
      </w:r>
      <w:r w:rsidRPr="00301B0F">
        <w:rPr>
          <w:color w:val="000000" w:themeColor="text1"/>
          <w:lang w:val="en-GB" w:eastAsia="ro-MD"/>
        </w:rPr>
        <w:t>;</w:t>
      </w:r>
    </w:p>
    <w:p w14:paraId="28905732" w14:textId="7F7E36FD"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6) </w:t>
      </w:r>
      <w:r w:rsidR="00023468" w:rsidRPr="00301B0F">
        <w:rPr>
          <w:color w:val="000000" w:themeColor="text1"/>
          <w:lang w:val="en-GB" w:eastAsia="ro-MD"/>
        </w:rPr>
        <w:t xml:space="preserve">banks' credit policies </w:t>
      </w:r>
      <w:proofErr w:type="gramStart"/>
      <w:r w:rsidR="00023468" w:rsidRPr="00301B0F">
        <w:rPr>
          <w:color w:val="000000" w:themeColor="text1"/>
          <w:lang w:val="en-GB" w:eastAsia="ro-MD"/>
        </w:rPr>
        <w:t>with regard to</w:t>
      </w:r>
      <w:proofErr w:type="gramEnd"/>
      <w:r w:rsidR="00023468" w:rsidRPr="00301B0F">
        <w:rPr>
          <w:color w:val="000000" w:themeColor="text1"/>
          <w:lang w:val="en-GB" w:eastAsia="ro-MD"/>
        </w:rPr>
        <w:t xml:space="preserve"> the transaction structure shall address the following</w:t>
      </w:r>
      <w:r w:rsidRPr="00301B0F">
        <w:rPr>
          <w:color w:val="000000" w:themeColor="text1"/>
          <w:lang w:val="en-GB" w:eastAsia="ro-MD"/>
        </w:rPr>
        <w:t>:</w:t>
      </w:r>
    </w:p>
    <w:p w14:paraId="446DE8BD" w14:textId="0939E661"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a) </w:t>
      </w:r>
      <w:r w:rsidR="00023468" w:rsidRPr="00301B0F">
        <w:rPr>
          <w:color w:val="000000" w:themeColor="text1"/>
          <w:lang w:val="en-GB" w:eastAsia="ro-MD"/>
        </w:rPr>
        <w:t>appropriate collateral requirements relative to the exposure amount</w:t>
      </w:r>
      <w:r w:rsidRPr="00301B0F">
        <w:rPr>
          <w:color w:val="000000" w:themeColor="text1"/>
          <w:lang w:val="en-GB" w:eastAsia="ro-MD"/>
        </w:rPr>
        <w:t>;</w:t>
      </w:r>
    </w:p>
    <w:p w14:paraId="478670C1" w14:textId="2B633AB8"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b) </w:t>
      </w:r>
      <w:r w:rsidR="00023468" w:rsidRPr="00301B0F">
        <w:rPr>
          <w:color w:val="000000" w:themeColor="text1"/>
          <w:lang w:val="en-GB" w:eastAsia="ro-MD"/>
        </w:rPr>
        <w:t>the ability to liquidate the collateral readily</w:t>
      </w:r>
      <w:r w:rsidRPr="00301B0F">
        <w:rPr>
          <w:color w:val="000000" w:themeColor="text1"/>
          <w:lang w:val="en-GB" w:eastAsia="ro-MD"/>
        </w:rPr>
        <w:t>;</w:t>
      </w:r>
    </w:p>
    <w:p w14:paraId="0BA06AA4" w14:textId="3B617B9F"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c) </w:t>
      </w:r>
      <w:r w:rsidR="00023468" w:rsidRPr="00301B0F">
        <w:rPr>
          <w:color w:val="000000" w:themeColor="text1"/>
          <w:lang w:val="en-GB" w:eastAsia="ro-MD"/>
        </w:rPr>
        <w:t>the ability to establish objectively a price or market value</w:t>
      </w:r>
      <w:r w:rsidRPr="00301B0F">
        <w:rPr>
          <w:color w:val="000000" w:themeColor="text1"/>
          <w:lang w:val="en-GB" w:eastAsia="ro-MD"/>
        </w:rPr>
        <w:t>;</w:t>
      </w:r>
    </w:p>
    <w:p w14:paraId="2427D6D8" w14:textId="685AC08C"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d) </w:t>
      </w:r>
      <w:r w:rsidR="00023468" w:rsidRPr="00301B0F">
        <w:rPr>
          <w:color w:val="000000" w:themeColor="text1"/>
          <w:lang w:val="en-GB" w:eastAsia="ro-MD"/>
        </w:rPr>
        <w:t>the frequency with which the value can readily be obtained, including a professional appraisal or valuation</w:t>
      </w:r>
      <w:r w:rsidRPr="00301B0F">
        <w:rPr>
          <w:color w:val="000000" w:themeColor="text1"/>
          <w:lang w:val="en-GB" w:eastAsia="ro-MD"/>
        </w:rPr>
        <w:t>;</w:t>
      </w:r>
    </w:p>
    <w:p w14:paraId="2769D7F7" w14:textId="2627230D"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e) </w:t>
      </w:r>
      <w:r w:rsidR="00023468" w:rsidRPr="00301B0F">
        <w:rPr>
          <w:color w:val="000000" w:themeColor="text1"/>
          <w:lang w:val="en-GB" w:eastAsia="ro-MD"/>
        </w:rPr>
        <w:t>the volatility or a proxy of the volatility of the value of the collateral</w:t>
      </w:r>
      <w:r w:rsidRPr="00301B0F">
        <w:rPr>
          <w:color w:val="000000" w:themeColor="text1"/>
          <w:lang w:val="en-GB" w:eastAsia="ro-MD"/>
        </w:rPr>
        <w:t>.</w:t>
      </w:r>
      <w:r w:rsidR="00023468" w:rsidRPr="00301B0F">
        <w:rPr>
          <w:color w:val="000000" w:themeColor="text1"/>
          <w:lang w:val="en-GB" w:eastAsia="ro-MD"/>
        </w:rPr>
        <w:t xml:space="preserve"> </w:t>
      </w:r>
    </w:p>
    <w:p w14:paraId="228EDAC0" w14:textId="1C6D96D6"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7) </w:t>
      </w:r>
      <w:r w:rsidR="00023468" w:rsidRPr="00301B0F">
        <w:rPr>
          <w:color w:val="000000" w:themeColor="text1"/>
          <w:lang w:val="en-GB" w:eastAsia="ro-MD"/>
        </w:rPr>
        <w:t>when conducting valuation and revaluation, banks shall take fully into account any deterioration or obsolescence of the collateral, paying particular attention to the effects of the passage of time on fashion- or date-sensitive collateral; for physical collateral, obsolescence of collateral shall also include ESG-related valuation considerations related to prohibitions or limitations imposed by the relevant regulatory objectives and legal acts, as well as, where relevant for internationally active banks, third-country legal and regulatory objectives</w:t>
      </w:r>
      <w:r w:rsidRPr="00301B0F">
        <w:rPr>
          <w:color w:val="000000" w:themeColor="text1"/>
          <w:lang w:val="en-GB" w:eastAsia="ro-MD"/>
        </w:rPr>
        <w:t>;</w:t>
      </w:r>
    </w:p>
    <w:p w14:paraId="5D6ABE2E" w14:textId="733612A7"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8) </w:t>
      </w:r>
      <w:r w:rsidR="00023468" w:rsidRPr="00301B0F">
        <w:rPr>
          <w:color w:val="000000" w:themeColor="text1"/>
          <w:lang w:val="en-GB" w:eastAsia="ro-MD"/>
        </w:rPr>
        <w:t>banks shall have the right to physically inspect the collateral. They shall also have in place policies and procedures addressing their exercise of the right to physical inspection</w:t>
      </w:r>
      <w:r w:rsidRPr="00301B0F">
        <w:rPr>
          <w:color w:val="000000" w:themeColor="text1"/>
          <w:lang w:val="en-GB" w:eastAsia="ro-MD"/>
        </w:rPr>
        <w:t>;</w:t>
      </w:r>
    </w:p>
    <w:p w14:paraId="630EE105" w14:textId="0DFE672F"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9) </w:t>
      </w:r>
      <w:r w:rsidR="00023468" w:rsidRPr="00301B0F">
        <w:rPr>
          <w:color w:val="000000" w:themeColor="text1"/>
          <w:lang w:val="en-GB" w:eastAsia="ro-MD"/>
        </w:rPr>
        <w:t>the collateral taken as protection shall be adequately insured against the risk of damage and banks shall have in place procedures to monitor this</w:t>
      </w:r>
      <w:r w:rsidRPr="00301B0F">
        <w:rPr>
          <w:color w:val="000000" w:themeColor="text1"/>
          <w:lang w:val="en-GB" w:eastAsia="ro-MD"/>
        </w:rPr>
        <w:t>.</w:t>
      </w:r>
    </w:p>
    <w:p w14:paraId="4CDB75C0" w14:textId="258CC5D2" w:rsidR="00962019" w:rsidRPr="00301B0F" w:rsidRDefault="00962019" w:rsidP="00962019">
      <w:pPr>
        <w:jc w:val="both"/>
        <w:rPr>
          <w:color w:val="000000" w:themeColor="text1"/>
          <w:lang w:val="en-GB" w:eastAsia="ro-MD"/>
        </w:rPr>
      </w:pPr>
      <w:r w:rsidRPr="00301B0F">
        <w:rPr>
          <w:b/>
          <w:bCs/>
          <w:color w:val="000000" w:themeColor="text1"/>
          <w:lang w:val="en-GB" w:eastAsia="ro-MD"/>
        </w:rPr>
        <w:t>50</w:t>
      </w:r>
      <w:r w:rsidRPr="00301B0F">
        <w:rPr>
          <w:b/>
          <w:bCs/>
          <w:color w:val="000000" w:themeColor="text1"/>
          <w:vertAlign w:val="superscript"/>
          <w:lang w:val="en-GB" w:eastAsia="ro-MD"/>
        </w:rPr>
        <w:t>6</w:t>
      </w:r>
      <w:r w:rsidRPr="00301B0F">
        <w:rPr>
          <w:b/>
          <w:bCs/>
          <w:color w:val="000000" w:themeColor="text1"/>
          <w:lang w:val="en-GB" w:eastAsia="ro-MD"/>
        </w:rPr>
        <w:t>.</w:t>
      </w:r>
      <w:r w:rsidRPr="00301B0F">
        <w:rPr>
          <w:color w:val="000000" w:themeColor="text1"/>
          <w:lang w:val="en-GB" w:eastAsia="ro-MD"/>
        </w:rPr>
        <w:t xml:space="preserve"> </w:t>
      </w:r>
      <w:r w:rsidR="002D78EE" w:rsidRPr="00301B0F">
        <w:rPr>
          <w:color w:val="000000" w:themeColor="text1"/>
          <w:lang w:val="en-GB" w:eastAsia="ro-MD"/>
        </w:rPr>
        <w:t>Where general security agreements, or other forms of floating charge, provide the lending bank with a registered claim over a company’s assets and where that claim contains both assets that are not eligible as collateral under the IRB Approach and assets that are eligible as collateral under the IRB Approach, the bank may recognise those latter assets as eligible funded credit protection. In that case, that recognition shall be conditional on those assets meeting the requirements for eligibility of collateral under the IRB Approach as set out in this</w:t>
      </w:r>
      <w:r w:rsidRPr="00301B0F">
        <w:rPr>
          <w:color w:val="000000" w:themeColor="text1"/>
          <w:lang w:val="en-GB" w:eastAsia="ro-MD"/>
        </w:rPr>
        <w:t xml:space="preserve"> </w:t>
      </w:r>
      <w:r w:rsidR="002D78EE" w:rsidRPr="00301B0F">
        <w:rPr>
          <w:color w:val="000000" w:themeColor="text1"/>
          <w:lang w:val="en-GB" w:eastAsia="ro-MD"/>
        </w:rPr>
        <w:t>Regulation</w:t>
      </w:r>
      <w:r w:rsidRPr="00301B0F">
        <w:rPr>
          <w:color w:val="000000" w:themeColor="text1"/>
          <w:lang w:val="en-GB" w:eastAsia="ro-MD"/>
        </w:rPr>
        <w:t>.</w:t>
      </w:r>
    </w:p>
    <w:p w14:paraId="1A412709" w14:textId="71ED011B" w:rsidR="00962019" w:rsidRPr="00301B0F" w:rsidRDefault="00962019" w:rsidP="00962019">
      <w:pPr>
        <w:jc w:val="both"/>
        <w:rPr>
          <w:color w:val="000000" w:themeColor="text1"/>
          <w:lang w:val="en-GB" w:eastAsia="ro-MD"/>
        </w:rPr>
      </w:pPr>
      <w:r w:rsidRPr="00301B0F">
        <w:rPr>
          <w:b/>
          <w:bCs/>
          <w:color w:val="000000" w:themeColor="text1"/>
          <w:lang w:val="en-GB" w:eastAsia="ro-MD"/>
        </w:rPr>
        <w:t>50</w:t>
      </w:r>
      <w:r w:rsidRPr="00301B0F">
        <w:rPr>
          <w:b/>
          <w:bCs/>
          <w:color w:val="000000" w:themeColor="text1"/>
          <w:vertAlign w:val="superscript"/>
          <w:lang w:val="en-GB" w:eastAsia="ro-MD"/>
        </w:rPr>
        <w:t>7</w:t>
      </w:r>
      <w:r w:rsidRPr="00301B0F">
        <w:rPr>
          <w:b/>
          <w:bCs/>
          <w:color w:val="000000" w:themeColor="text1"/>
          <w:lang w:val="en-GB" w:eastAsia="ro-MD"/>
        </w:rPr>
        <w:t>.</w:t>
      </w:r>
      <w:r w:rsidRPr="00301B0F">
        <w:rPr>
          <w:color w:val="000000" w:themeColor="text1"/>
          <w:lang w:val="en-GB" w:eastAsia="ro-MD"/>
        </w:rPr>
        <w:t xml:space="preserve"> </w:t>
      </w:r>
      <w:r w:rsidR="002D78EE" w:rsidRPr="00301B0F">
        <w:rPr>
          <w:color w:val="000000" w:themeColor="text1"/>
          <w:lang w:val="en-GB" w:eastAsia="ro-MD"/>
        </w:rPr>
        <w:t>Banks shall treat exposures arising from leasing transactions as collateralised by the type of property leased, where all the following conditions are met</w:t>
      </w:r>
      <w:r w:rsidRPr="00301B0F">
        <w:rPr>
          <w:color w:val="000000" w:themeColor="text1"/>
          <w:lang w:val="en-GB" w:eastAsia="ro-MD"/>
        </w:rPr>
        <w:t>:</w:t>
      </w:r>
    </w:p>
    <w:p w14:paraId="50834768" w14:textId="7AC693FC"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1) </w:t>
      </w:r>
      <w:r w:rsidR="002D78EE" w:rsidRPr="00301B0F">
        <w:rPr>
          <w:color w:val="000000" w:themeColor="text1"/>
          <w:lang w:val="en-GB" w:eastAsia="ro-MD"/>
        </w:rPr>
        <w:t xml:space="preserve">the conditions set out in paragraph </w:t>
      </w:r>
      <w:r w:rsidRPr="00301B0F">
        <w:rPr>
          <w:color w:val="000000" w:themeColor="text1"/>
          <w:lang w:val="en-GB" w:eastAsia="ro-MD"/>
        </w:rPr>
        <w:t>5</w:t>
      </w:r>
      <w:r w:rsidR="00A669CB" w:rsidRPr="00301B0F">
        <w:rPr>
          <w:color w:val="000000" w:themeColor="text1"/>
          <w:lang w:val="en-GB" w:eastAsia="ro-MD"/>
        </w:rPr>
        <w:t>0</w:t>
      </w:r>
      <w:r w:rsidRPr="00301B0F">
        <w:rPr>
          <w:color w:val="000000" w:themeColor="text1"/>
          <w:vertAlign w:val="superscript"/>
          <w:lang w:val="en-GB" w:eastAsia="ro-MD"/>
        </w:rPr>
        <w:t>1</w:t>
      </w:r>
      <w:r w:rsidRPr="00301B0F">
        <w:rPr>
          <w:color w:val="000000" w:themeColor="text1"/>
          <w:lang w:val="en-GB" w:eastAsia="ro-MD"/>
        </w:rPr>
        <w:t xml:space="preserve"> </w:t>
      </w:r>
      <w:r w:rsidR="002D78EE" w:rsidRPr="00301B0F">
        <w:rPr>
          <w:color w:val="000000" w:themeColor="text1"/>
          <w:lang w:val="en-GB" w:eastAsia="ro-MD"/>
        </w:rPr>
        <w:t xml:space="preserve">or paragraphs </w:t>
      </w:r>
      <w:r w:rsidRPr="00301B0F">
        <w:rPr>
          <w:color w:val="000000" w:themeColor="text1"/>
          <w:lang w:val="en-GB" w:eastAsia="ro-MD"/>
        </w:rPr>
        <w:t>5</w:t>
      </w:r>
      <w:r w:rsidR="00A669CB" w:rsidRPr="00301B0F">
        <w:rPr>
          <w:color w:val="000000" w:themeColor="text1"/>
          <w:lang w:val="en-GB" w:eastAsia="ro-MD"/>
        </w:rPr>
        <w:t>0</w:t>
      </w:r>
      <w:r w:rsidRPr="00301B0F">
        <w:rPr>
          <w:color w:val="000000" w:themeColor="text1"/>
          <w:vertAlign w:val="superscript"/>
          <w:lang w:val="en-GB" w:eastAsia="ro-MD"/>
        </w:rPr>
        <w:t>5</w:t>
      </w:r>
      <w:r w:rsidRPr="00301B0F">
        <w:rPr>
          <w:color w:val="000000" w:themeColor="text1"/>
          <w:lang w:val="en-GB" w:eastAsia="ro-MD"/>
        </w:rPr>
        <w:t>-5</w:t>
      </w:r>
      <w:r w:rsidR="00A669CB" w:rsidRPr="00301B0F">
        <w:rPr>
          <w:color w:val="000000" w:themeColor="text1"/>
          <w:lang w:val="en-GB" w:eastAsia="ro-MD"/>
        </w:rPr>
        <w:t>0</w:t>
      </w:r>
      <w:r w:rsidRPr="00301B0F">
        <w:rPr>
          <w:color w:val="000000" w:themeColor="text1"/>
          <w:vertAlign w:val="superscript"/>
          <w:lang w:val="en-GB" w:eastAsia="ro-MD"/>
        </w:rPr>
        <w:t>6</w:t>
      </w:r>
      <w:r w:rsidRPr="00301B0F">
        <w:rPr>
          <w:color w:val="000000" w:themeColor="text1"/>
          <w:lang w:val="en-GB" w:eastAsia="ro-MD"/>
        </w:rPr>
        <w:t xml:space="preserve">, </w:t>
      </w:r>
      <w:r w:rsidR="002D78EE" w:rsidRPr="00301B0F">
        <w:rPr>
          <w:color w:val="000000" w:themeColor="text1"/>
          <w:lang w:val="en-GB" w:eastAsia="ro-MD"/>
        </w:rPr>
        <w:t>as applicable</w:t>
      </w:r>
      <w:r w:rsidRPr="00301B0F">
        <w:rPr>
          <w:color w:val="000000" w:themeColor="text1"/>
          <w:lang w:val="en-GB" w:eastAsia="ro-MD"/>
        </w:rPr>
        <w:t xml:space="preserve">, </w:t>
      </w:r>
      <w:r w:rsidR="002D78EE" w:rsidRPr="00301B0F">
        <w:rPr>
          <w:color w:val="000000" w:themeColor="text1"/>
          <w:lang w:val="en-GB" w:eastAsia="ro-MD"/>
        </w:rPr>
        <w:t>for the type of property leased to qualify as eligible collateral are met</w:t>
      </w:r>
      <w:r w:rsidRPr="00301B0F">
        <w:rPr>
          <w:color w:val="000000" w:themeColor="text1"/>
          <w:lang w:val="en-GB" w:eastAsia="ro-MD"/>
        </w:rPr>
        <w:t>;</w:t>
      </w:r>
      <w:r w:rsidR="002D78EE" w:rsidRPr="00301B0F">
        <w:rPr>
          <w:color w:val="000000" w:themeColor="text1"/>
          <w:lang w:val="en-GB" w:eastAsia="ro-MD"/>
        </w:rPr>
        <w:t xml:space="preserve"> </w:t>
      </w:r>
    </w:p>
    <w:p w14:paraId="57573107" w14:textId="7E7E3D44"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2) </w:t>
      </w:r>
      <w:r w:rsidR="002D78EE" w:rsidRPr="00301B0F">
        <w:rPr>
          <w:color w:val="000000" w:themeColor="text1"/>
          <w:lang w:val="en-GB" w:eastAsia="ro-MD"/>
        </w:rPr>
        <w:t>the lessor has in place robust risk management with respect to the use to which the leased asset is put, its location, its age and the planned duration of its use, including appropriate monitoring of the value of the security</w:t>
      </w:r>
      <w:r w:rsidRPr="00301B0F">
        <w:rPr>
          <w:color w:val="000000" w:themeColor="text1"/>
          <w:lang w:val="en-GB" w:eastAsia="ro-MD"/>
        </w:rPr>
        <w:t>;</w:t>
      </w:r>
    </w:p>
    <w:p w14:paraId="4700C7FD" w14:textId="3982D5EE" w:rsidR="00962019" w:rsidRPr="00301B0F" w:rsidRDefault="00962019" w:rsidP="00962019">
      <w:pPr>
        <w:ind w:firstLine="567"/>
        <w:jc w:val="both"/>
        <w:rPr>
          <w:color w:val="000000" w:themeColor="text1"/>
          <w:lang w:val="en-GB" w:eastAsia="ro-MD"/>
        </w:rPr>
      </w:pPr>
      <w:r w:rsidRPr="00301B0F">
        <w:rPr>
          <w:color w:val="000000" w:themeColor="text1"/>
          <w:lang w:val="en-GB" w:eastAsia="ro-MD"/>
        </w:rPr>
        <w:t xml:space="preserve">3) </w:t>
      </w:r>
      <w:r w:rsidR="002D78EE" w:rsidRPr="00301B0F">
        <w:rPr>
          <w:color w:val="000000" w:themeColor="text1"/>
          <w:lang w:val="en-GB" w:eastAsia="ro-MD"/>
        </w:rPr>
        <w:t xml:space="preserve">the lessor has legal ownership of the asset and </w:t>
      </w:r>
      <w:proofErr w:type="gramStart"/>
      <w:r w:rsidR="002D78EE" w:rsidRPr="00301B0F">
        <w:rPr>
          <w:color w:val="000000" w:themeColor="text1"/>
          <w:lang w:val="en-GB" w:eastAsia="ro-MD"/>
        </w:rPr>
        <w:t>is able to</w:t>
      </w:r>
      <w:proofErr w:type="gramEnd"/>
      <w:r w:rsidR="002D78EE" w:rsidRPr="00301B0F">
        <w:rPr>
          <w:color w:val="000000" w:themeColor="text1"/>
          <w:lang w:val="en-GB" w:eastAsia="ro-MD"/>
        </w:rPr>
        <w:t xml:space="preserve"> exercise its rights as owner in a timely fashion</w:t>
      </w:r>
      <w:r w:rsidRPr="00301B0F">
        <w:rPr>
          <w:color w:val="000000" w:themeColor="text1"/>
          <w:lang w:val="en-GB" w:eastAsia="ro-MD"/>
        </w:rPr>
        <w:t>;</w:t>
      </w:r>
    </w:p>
    <w:p w14:paraId="16A902AD" w14:textId="4D4BC653" w:rsidR="007B1AF8" w:rsidRPr="00301B0F" w:rsidRDefault="00962019" w:rsidP="00981ED0">
      <w:pPr>
        <w:ind w:firstLine="567"/>
        <w:jc w:val="both"/>
        <w:rPr>
          <w:color w:val="000000" w:themeColor="text1"/>
          <w:lang w:val="en-GB"/>
        </w:rPr>
      </w:pPr>
      <w:r w:rsidRPr="00301B0F">
        <w:rPr>
          <w:color w:val="000000" w:themeColor="text1"/>
          <w:lang w:val="en-GB" w:eastAsia="ro-MD"/>
        </w:rPr>
        <w:lastRenderedPageBreak/>
        <w:t xml:space="preserve">4) </w:t>
      </w:r>
      <w:r w:rsidR="002D78EE" w:rsidRPr="00301B0F">
        <w:rPr>
          <w:color w:val="000000" w:themeColor="text1"/>
          <w:lang w:val="en-GB" w:eastAsia="ro-MD"/>
        </w:rPr>
        <w:t>where this has not already been ascertained in calculating the LGD level, the difference between the value of the unamortised amount and the market value of the security is not so large as to overstate the credit risk mitigation attributed to the leased assets</w:t>
      </w:r>
      <w:r w:rsidRPr="00301B0F">
        <w:rPr>
          <w:color w:val="000000" w:themeColor="text1"/>
          <w:lang w:val="en-GB" w:eastAsia="ro-MD"/>
        </w:rPr>
        <w:t>.</w:t>
      </w:r>
      <w:r w:rsidR="00631072" w:rsidRPr="00301B0F">
        <w:rPr>
          <w:color w:val="000000" w:themeColor="text1"/>
          <w:lang w:val="en-GB"/>
        </w:rPr>
        <w:t>”.</w:t>
      </w:r>
    </w:p>
    <w:p w14:paraId="26654671" w14:textId="12080EEC" w:rsidR="00715C5E" w:rsidRPr="00301B0F" w:rsidRDefault="002D78EE" w:rsidP="008F595B">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w:t>
      </w:r>
      <w:r w:rsidR="00750B3B" w:rsidRPr="00301B0F">
        <w:rPr>
          <w:color w:val="000000" w:themeColor="text1"/>
          <w:lang w:val="en-GB"/>
        </w:rPr>
        <w:t xml:space="preserve"> 51</w:t>
      </w:r>
      <w:r w:rsidR="00750B3B" w:rsidRPr="00301B0F">
        <w:rPr>
          <w:color w:val="000000" w:themeColor="text1"/>
          <w:vertAlign w:val="superscript"/>
          <w:lang w:val="en-GB"/>
        </w:rPr>
        <w:t>1</w:t>
      </w:r>
      <w:r w:rsidR="00750B3B" w:rsidRPr="00301B0F">
        <w:rPr>
          <w:color w:val="000000" w:themeColor="text1"/>
          <w:lang w:val="en-GB"/>
        </w:rPr>
        <w:t xml:space="preserve"> </w:t>
      </w:r>
      <w:r w:rsidRPr="00301B0F">
        <w:rPr>
          <w:color w:val="000000" w:themeColor="text1"/>
          <w:lang w:val="en-GB"/>
        </w:rPr>
        <w:t>shall be added with the following content</w:t>
      </w:r>
      <w:r w:rsidR="002D061D" w:rsidRPr="00301B0F">
        <w:rPr>
          <w:color w:val="000000" w:themeColor="text1"/>
          <w:lang w:val="en-GB"/>
        </w:rPr>
        <w:t>:</w:t>
      </w:r>
    </w:p>
    <w:p w14:paraId="1A5A01C9" w14:textId="47C8CAE3" w:rsidR="00F3090A" w:rsidRPr="00301B0F" w:rsidRDefault="00FD026A" w:rsidP="00F3090A">
      <w:pPr>
        <w:jc w:val="both"/>
        <w:rPr>
          <w:color w:val="000000" w:themeColor="text1"/>
          <w:lang w:val="en-GB" w:eastAsia="ro-MD"/>
        </w:rPr>
      </w:pPr>
      <w:r w:rsidRPr="00301B0F">
        <w:rPr>
          <w:color w:val="000000" w:themeColor="text1"/>
          <w:lang w:val="en-GB"/>
        </w:rPr>
        <w:t>“</w:t>
      </w:r>
      <w:r w:rsidR="00F3090A" w:rsidRPr="00301B0F">
        <w:rPr>
          <w:b/>
          <w:bCs/>
          <w:color w:val="000000" w:themeColor="text1"/>
          <w:lang w:val="en-GB" w:eastAsia="ro-MD"/>
        </w:rPr>
        <w:t>51</w:t>
      </w:r>
      <w:r w:rsidR="00F3090A" w:rsidRPr="00301B0F">
        <w:rPr>
          <w:b/>
          <w:bCs/>
          <w:color w:val="000000" w:themeColor="text1"/>
          <w:vertAlign w:val="superscript"/>
          <w:lang w:val="en-GB" w:eastAsia="ro-MD"/>
        </w:rPr>
        <w:t>1</w:t>
      </w:r>
      <w:r w:rsidR="00F3090A" w:rsidRPr="00301B0F">
        <w:rPr>
          <w:b/>
          <w:bCs/>
          <w:color w:val="000000" w:themeColor="text1"/>
          <w:lang w:val="en-GB" w:eastAsia="ro-MD"/>
        </w:rPr>
        <w:t>.</w:t>
      </w:r>
      <w:r w:rsidR="00F3090A" w:rsidRPr="00301B0F">
        <w:rPr>
          <w:color w:val="000000" w:themeColor="text1"/>
          <w:lang w:val="en-GB" w:eastAsia="ro-MD"/>
        </w:rPr>
        <w:t xml:space="preserve"> </w:t>
      </w:r>
      <w:r w:rsidRPr="00301B0F">
        <w:rPr>
          <w:color w:val="000000" w:themeColor="text1"/>
          <w:lang w:val="en-GB" w:eastAsia="ro-MD"/>
        </w:rPr>
        <w:t>Life insurance policies pledged to the lending banks shall qualify as eligible collateral where all the following conditions are met</w:t>
      </w:r>
      <w:r w:rsidR="00F3090A" w:rsidRPr="00301B0F">
        <w:rPr>
          <w:color w:val="000000" w:themeColor="text1"/>
          <w:lang w:val="en-GB" w:eastAsia="ro-MD"/>
        </w:rPr>
        <w:t>:</w:t>
      </w:r>
    </w:p>
    <w:p w14:paraId="0A03332C" w14:textId="1F78BC46" w:rsidR="00F3090A" w:rsidRPr="00301B0F" w:rsidRDefault="00F3090A" w:rsidP="00F3090A">
      <w:pPr>
        <w:ind w:firstLine="567"/>
        <w:jc w:val="both"/>
        <w:rPr>
          <w:color w:val="000000" w:themeColor="text1"/>
          <w:lang w:val="en-GB" w:eastAsia="ro-MD"/>
        </w:rPr>
      </w:pPr>
      <w:r w:rsidRPr="00301B0F">
        <w:rPr>
          <w:color w:val="000000" w:themeColor="text1"/>
          <w:lang w:val="en-GB" w:eastAsia="ro-MD"/>
        </w:rPr>
        <w:t xml:space="preserve">1) </w:t>
      </w:r>
      <w:r w:rsidR="00FD026A" w:rsidRPr="00301B0F">
        <w:rPr>
          <w:color w:val="000000" w:themeColor="text1"/>
          <w:lang w:val="en-GB" w:eastAsia="ro-MD"/>
        </w:rPr>
        <w:t>the life insurance policy is openly pledged or assigned to the lending bank</w:t>
      </w:r>
      <w:r w:rsidRPr="00301B0F">
        <w:rPr>
          <w:color w:val="000000" w:themeColor="text1"/>
          <w:lang w:val="en-GB" w:eastAsia="ro-MD"/>
        </w:rPr>
        <w:t>;</w:t>
      </w:r>
    </w:p>
    <w:p w14:paraId="37CEC679" w14:textId="35770837" w:rsidR="00F3090A" w:rsidRPr="00301B0F" w:rsidRDefault="00F3090A" w:rsidP="00F3090A">
      <w:pPr>
        <w:ind w:firstLine="567"/>
        <w:jc w:val="both"/>
        <w:rPr>
          <w:color w:val="000000" w:themeColor="text1"/>
          <w:lang w:val="en-GB" w:eastAsia="ro-MD"/>
        </w:rPr>
      </w:pPr>
      <w:r w:rsidRPr="00301B0F">
        <w:rPr>
          <w:color w:val="000000" w:themeColor="text1"/>
          <w:lang w:val="en-GB" w:eastAsia="ro-MD"/>
        </w:rPr>
        <w:t xml:space="preserve">2) </w:t>
      </w:r>
      <w:r w:rsidR="00FD026A" w:rsidRPr="00301B0F">
        <w:rPr>
          <w:color w:val="000000" w:themeColor="text1"/>
          <w:lang w:val="en-GB" w:eastAsia="ro-MD"/>
        </w:rPr>
        <w:t xml:space="preserve">the company providing the life insurance is notified of the pledge or assignment and, </w:t>
      </w:r>
      <w:proofErr w:type="gramStart"/>
      <w:r w:rsidR="00FD026A" w:rsidRPr="00301B0F">
        <w:rPr>
          <w:color w:val="000000" w:themeColor="text1"/>
          <w:lang w:val="en-GB" w:eastAsia="ro-MD"/>
        </w:rPr>
        <w:t>as a result of</w:t>
      </w:r>
      <w:proofErr w:type="gramEnd"/>
      <w:r w:rsidR="00FD026A" w:rsidRPr="00301B0F">
        <w:rPr>
          <w:color w:val="000000" w:themeColor="text1"/>
          <w:lang w:val="en-GB" w:eastAsia="ro-MD"/>
        </w:rPr>
        <w:t xml:space="preserve"> the notification, may not pay amounts payable under the contract without the prior consent of the lending bank</w:t>
      </w:r>
      <w:r w:rsidRPr="00301B0F">
        <w:rPr>
          <w:color w:val="000000" w:themeColor="text1"/>
          <w:lang w:val="en-GB" w:eastAsia="ro-MD"/>
        </w:rPr>
        <w:t>;</w:t>
      </w:r>
    </w:p>
    <w:p w14:paraId="12A0DF3C" w14:textId="0A7612CA" w:rsidR="00F3090A" w:rsidRPr="00301B0F" w:rsidRDefault="00F3090A" w:rsidP="00F3090A">
      <w:pPr>
        <w:ind w:firstLine="567"/>
        <w:jc w:val="both"/>
        <w:rPr>
          <w:color w:val="000000" w:themeColor="text1"/>
          <w:lang w:val="en-GB" w:eastAsia="ro-MD"/>
        </w:rPr>
      </w:pPr>
      <w:r w:rsidRPr="00301B0F">
        <w:rPr>
          <w:color w:val="000000" w:themeColor="text1"/>
          <w:lang w:val="en-GB" w:eastAsia="ro-MD"/>
        </w:rPr>
        <w:t xml:space="preserve">3) </w:t>
      </w:r>
      <w:r w:rsidR="00FD026A" w:rsidRPr="00301B0F">
        <w:rPr>
          <w:color w:val="000000" w:themeColor="text1"/>
          <w:lang w:val="en-GB" w:eastAsia="ro-MD"/>
        </w:rPr>
        <w:t>the lending bank has the right to cancel the policy and receive the surrender value in the event of the default of the borrower</w:t>
      </w:r>
      <w:r w:rsidRPr="00301B0F">
        <w:rPr>
          <w:color w:val="000000" w:themeColor="text1"/>
          <w:lang w:val="en-GB" w:eastAsia="ro-MD"/>
        </w:rPr>
        <w:t>;</w:t>
      </w:r>
    </w:p>
    <w:p w14:paraId="40A0BB04" w14:textId="13F3E231" w:rsidR="00F3090A" w:rsidRPr="00301B0F" w:rsidRDefault="00F3090A" w:rsidP="00F3090A">
      <w:pPr>
        <w:ind w:firstLine="567"/>
        <w:jc w:val="both"/>
        <w:rPr>
          <w:color w:val="000000" w:themeColor="text1"/>
          <w:lang w:val="en-GB" w:eastAsia="ro-MD"/>
        </w:rPr>
      </w:pPr>
      <w:r w:rsidRPr="00301B0F">
        <w:rPr>
          <w:color w:val="000000" w:themeColor="text1"/>
          <w:lang w:val="en-GB" w:eastAsia="ro-MD"/>
        </w:rPr>
        <w:t xml:space="preserve">4) </w:t>
      </w:r>
      <w:r w:rsidR="00FD026A" w:rsidRPr="00301B0F">
        <w:rPr>
          <w:color w:val="000000" w:themeColor="text1"/>
          <w:lang w:val="en-GB" w:eastAsia="ro-MD"/>
        </w:rPr>
        <w:t xml:space="preserve">the lending bank is informed of any non-payments under the policy by the </w:t>
      </w:r>
      <w:proofErr w:type="gramStart"/>
      <w:r w:rsidR="00FD026A" w:rsidRPr="00301B0F">
        <w:rPr>
          <w:color w:val="000000" w:themeColor="text1"/>
          <w:lang w:val="en-GB" w:eastAsia="ro-MD"/>
        </w:rPr>
        <w:t>policy-holder</w:t>
      </w:r>
      <w:proofErr w:type="gramEnd"/>
      <w:r w:rsidRPr="00301B0F">
        <w:rPr>
          <w:color w:val="000000" w:themeColor="text1"/>
          <w:lang w:val="en-GB" w:eastAsia="ro-MD"/>
        </w:rPr>
        <w:t>;</w:t>
      </w:r>
    </w:p>
    <w:p w14:paraId="71336776" w14:textId="5FC58525" w:rsidR="00F3090A" w:rsidRPr="00301B0F" w:rsidRDefault="00F3090A" w:rsidP="00F3090A">
      <w:pPr>
        <w:ind w:firstLine="567"/>
        <w:jc w:val="both"/>
        <w:rPr>
          <w:color w:val="000000" w:themeColor="text1"/>
          <w:lang w:val="en-GB" w:eastAsia="ro-MD"/>
        </w:rPr>
      </w:pPr>
      <w:r w:rsidRPr="00301B0F">
        <w:rPr>
          <w:color w:val="000000" w:themeColor="text1"/>
          <w:lang w:val="en-GB" w:eastAsia="ro-MD"/>
        </w:rPr>
        <w:t xml:space="preserve">5) </w:t>
      </w:r>
      <w:r w:rsidR="00B03D6F" w:rsidRPr="00301B0F">
        <w:rPr>
          <w:color w:val="000000" w:themeColor="text1"/>
          <w:lang w:val="en-GB" w:eastAsia="ro-MD"/>
        </w:rPr>
        <w:t>the credit protection is provided for the maturity of the loan. Where this is not possible because the insurance relationship ends before the loan relationship expires, the bank shall ensure that the amount deriving from the insurance contract serves the bank as security until the end of the duration of the credit agreement</w:t>
      </w:r>
      <w:r w:rsidRPr="00301B0F">
        <w:rPr>
          <w:color w:val="000000" w:themeColor="text1"/>
          <w:lang w:val="en-GB" w:eastAsia="ro-MD"/>
        </w:rPr>
        <w:t>;</w:t>
      </w:r>
    </w:p>
    <w:p w14:paraId="5C14FFFE" w14:textId="7CB6BECB" w:rsidR="00F3090A" w:rsidRPr="00301B0F" w:rsidRDefault="00F3090A" w:rsidP="00F3090A">
      <w:pPr>
        <w:ind w:firstLine="567"/>
        <w:jc w:val="both"/>
        <w:rPr>
          <w:color w:val="000000" w:themeColor="text1"/>
          <w:lang w:val="en-GB" w:eastAsia="ro-MD"/>
        </w:rPr>
      </w:pPr>
      <w:r w:rsidRPr="00301B0F">
        <w:rPr>
          <w:color w:val="000000" w:themeColor="text1"/>
          <w:lang w:val="en-GB" w:eastAsia="ro-MD"/>
        </w:rPr>
        <w:t xml:space="preserve">6) </w:t>
      </w:r>
      <w:r w:rsidR="00B03D6F" w:rsidRPr="00301B0F">
        <w:rPr>
          <w:color w:val="000000" w:themeColor="text1"/>
          <w:lang w:val="en-GB" w:eastAsia="ro-MD"/>
        </w:rPr>
        <w:t>the pledge or assignment is legally effective and enforceable in all jurisdictions which are relevant at the time of the conclusion of the credit agreement</w:t>
      </w:r>
      <w:r w:rsidRPr="00301B0F">
        <w:rPr>
          <w:color w:val="000000" w:themeColor="text1"/>
          <w:lang w:val="en-GB" w:eastAsia="ro-MD"/>
        </w:rPr>
        <w:t>;</w:t>
      </w:r>
      <w:r w:rsidR="00B03D6F" w:rsidRPr="00301B0F">
        <w:rPr>
          <w:color w:val="000000" w:themeColor="text1"/>
          <w:lang w:val="en-GB" w:eastAsia="ro-MD"/>
        </w:rPr>
        <w:t xml:space="preserve"> </w:t>
      </w:r>
    </w:p>
    <w:p w14:paraId="2CADA34B" w14:textId="6C2470B7" w:rsidR="00F3090A" w:rsidRPr="00301B0F" w:rsidRDefault="00F3090A" w:rsidP="00F3090A">
      <w:pPr>
        <w:ind w:firstLine="567"/>
        <w:jc w:val="both"/>
        <w:rPr>
          <w:color w:val="000000" w:themeColor="text1"/>
          <w:lang w:val="en-GB" w:eastAsia="ro-MD"/>
        </w:rPr>
      </w:pPr>
      <w:r w:rsidRPr="00301B0F">
        <w:rPr>
          <w:color w:val="000000" w:themeColor="text1"/>
          <w:lang w:val="en-GB" w:eastAsia="ro-MD"/>
        </w:rPr>
        <w:t xml:space="preserve">7) </w:t>
      </w:r>
      <w:r w:rsidR="00B03D6F" w:rsidRPr="00301B0F">
        <w:rPr>
          <w:color w:val="000000" w:themeColor="text1"/>
          <w:lang w:val="en-GB" w:eastAsia="ro-MD"/>
        </w:rPr>
        <w:t>the surrender value is declared by the company providing the life insurance and is non-reducible</w:t>
      </w:r>
      <w:r w:rsidRPr="00301B0F">
        <w:rPr>
          <w:color w:val="000000" w:themeColor="text1"/>
          <w:lang w:val="en-GB" w:eastAsia="ro-MD"/>
        </w:rPr>
        <w:t>;</w:t>
      </w:r>
      <w:r w:rsidR="00B03D6F" w:rsidRPr="00301B0F">
        <w:rPr>
          <w:color w:val="000000" w:themeColor="text1"/>
          <w:lang w:val="en-GB" w:eastAsia="ro-MD"/>
        </w:rPr>
        <w:t xml:space="preserve"> </w:t>
      </w:r>
    </w:p>
    <w:p w14:paraId="1C5E3CEE" w14:textId="274858A5" w:rsidR="00F3090A" w:rsidRPr="00301B0F" w:rsidRDefault="00F3090A" w:rsidP="00F3090A">
      <w:pPr>
        <w:ind w:firstLine="567"/>
        <w:jc w:val="both"/>
        <w:rPr>
          <w:color w:val="000000" w:themeColor="text1"/>
          <w:lang w:val="en-GB" w:eastAsia="ro-MD"/>
        </w:rPr>
      </w:pPr>
      <w:r w:rsidRPr="00301B0F">
        <w:rPr>
          <w:color w:val="000000" w:themeColor="text1"/>
          <w:lang w:val="en-GB" w:eastAsia="ro-MD"/>
        </w:rPr>
        <w:t xml:space="preserve">8) </w:t>
      </w:r>
      <w:r w:rsidR="00B03D6F" w:rsidRPr="00301B0F">
        <w:rPr>
          <w:color w:val="000000" w:themeColor="text1"/>
          <w:lang w:val="en-GB" w:eastAsia="ro-MD"/>
        </w:rPr>
        <w:t>the surrender value is to be paid by the company providing the life insurance in a timely manner upon request</w:t>
      </w:r>
      <w:r w:rsidRPr="00301B0F">
        <w:rPr>
          <w:color w:val="000000" w:themeColor="text1"/>
          <w:lang w:val="en-GB" w:eastAsia="ro-MD"/>
        </w:rPr>
        <w:t>;</w:t>
      </w:r>
      <w:r w:rsidR="00B03D6F" w:rsidRPr="00301B0F">
        <w:rPr>
          <w:color w:val="000000" w:themeColor="text1"/>
          <w:lang w:val="en-GB" w:eastAsia="ro-MD"/>
        </w:rPr>
        <w:t xml:space="preserve"> </w:t>
      </w:r>
    </w:p>
    <w:p w14:paraId="66543147" w14:textId="71B45573" w:rsidR="00F3090A" w:rsidRPr="00301B0F" w:rsidRDefault="00F3090A" w:rsidP="00F3090A">
      <w:pPr>
        <w:ind w:firstLine="567"/>
        <w:jc w:val="both"/>
        <w:rPr>
          <w:color w:val="000000" w:themeColor="text1"/>
          <w:lang w:val="en-GB" w:eastAsia="ro-MD"/>
        </w:rPr>
      </w:pPr>
      <w:r w:rsidRPr="00301B0F">
        <w:rPr>
          <w:color w:val="000000" w:themeColor="text1"/>
          <w:lang w:val="en-GB" w:eastAsia="ro-MD"/>
        </w:rPr>
        <w:t xml:space="preserve">9) </w:t>
      </w:r>
      <w:r w:rsidR="00B03D6F" w:rsidRPr="00301B0F">
        <w:rPr>
          <w:color w:val="000000" w:themeColor="text1"/>
          <w:lang w:val="en-GB" w:eastAsia="ro-MD"/>
        </w:rPr>
        <w:t>the surrender value shall not be requested without the prior consent of the bank</w:t>
      </w:r>
      <w:r w:rsidRPr="00301B0F">
        <w:rPr>
          <w:color w:val="000000" w:themeColor="text1"/>
          <w:lang w:val="en-GB" w:eastAsia="ro-MD"/>
        </w:rPr>
        <w:t>;</w:t>
      </w:r>
    </w:p>
    <w:p w14:paraId="027F8F8F" w14:textId="12A46E7A" w:rsidR="002D061D" w:rsidRPr="00301B0F" w:rsidRDefault="00F3090A" w:rsidP="00F3090A">
      <w:pPr>
        <w:ind w:firstLine="567"/>
        <w:jc w:val="both"/>
        <w:rPr>
          <w:color w:val="000000" w:themeColor="text1"/>
          <w:lang w:val="en-GB"/>
        </w:rPr>
      </w:pPr>
      <w:r w:rsidRPr="00301B0F">
        <w:rPr>
          <w:color w:val="000000" w:themeColor="text1"/>
          <w:lang w:val="en-GB" w:eastAsia="ro-MD"/>
        </w:rPr>
        <w:t xml:space="preserve">10) </w:t>
      </w:r>
      <w:r w:rsidR="00A8264C" w:rsidRPr="00301B0F">
        <w:rPr>
          <w:color w:val="000000" w:themeColor="text1"/>
          <w:lang w:val="en-GB" w:eastAsia="ro-MD"/>
        </w:rPr>
        <w:t>the company providing life insurance is subject to Law No 92/2022 on insurance or reinsurance activity or is subject to supervision by a competent authority of a third country that applies supervisory and regulatory rules at least equivalent to those applied in the Republic of Moldova</w:t>
      </w:r>
      <w:r w:rsidRPr="00301B0F">
        <w:rPr>
          <w:color w:val="000000" w:themeColor="text1"/>
          <w:lang w:val="en-GB" w:eastAsia="ro-MD"/>
        </w:rPr>
        <w:t>.</w:t>
      </w:r>
      <w:r w:rsidR="00AB095D" w:rsidRPr="00301B0F">
        <w:rPr>
          <w:color w:val="000000" w:themeColor="text1"/>
          <w:lang w:val="en-GB" w:eastAsia="ro-MD"/>
        </w:rPr>
        <w:t>”.</w:t>
      </w:r>
    </w:p>
    <w:p w14:paraId="7070EA10" w14:textId="5073F770" w:rsidR="002C0BFB" w:rsidRPr="00301B0F" w:rsidRDefault="00A8264C" w:rsidP="005C236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w:t>
      </w:r>
      <w:r w:rsidR="002C0BFB" w:rsidRPr="00301B0F">
        <w:rPr>
          <w:color w:val="000000" w:themeColor="text1"/>
          <w:lang w:val="en-GB"/>
        </w:rPr>
        <w:t xml:space="preserve"> 53 sub</w:t>
      </w:r>
      <w:r w:rsidRPr="00301B0F">
        <w:rPr>
          <w:color w:val="000000" w:themeColor="text1"/>
          <w:lang w:val="en-GB"/>
        </w:rPr>
        <w:t>-paragraph</w:t>
      </w:r>
      <w:r w:rsidR="002C0BFB" w:rsidRPr="00301B0F">
        <w:rPr>
          <w:color w:val="000000" w:themeColor="text1"/>
          <w:lang w:val="en-GB"/>
        </w:rPr>
        <w:t xml:space="preserve"> 3):</w:t>
      </w:r>
    </w:p>
    <w:p w14:paraId="5D127549" w14:textId="4699D0C0" w:rsidR="002C0BFB" w:rsidRPr="00301B0F" w:rsidRDefault="00A8264C" w:rsidP="005F73A6">
      <w:pPr>
        <w:pStyle w:val="ListParagraph"/>
        <w:numPr>
          <w:ilvl w:val="2"/>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the introductory part, the word “bank” shall be supplemented by the word “lending</w:t>
      </w:r>
      <w:r w:rsidR="00FA5770" w:rsidRPr="00301B0F">
        <w:rPr>
          <w:color w:val="000000" w:themeColor="text1"/>
          <w:lang w:val="en-GB"/>
        </w:rPr>
        <w:t>”;</w:t>
      </w:r>
    </w:p>
    <w:p w14:paraId="71FA047B" w14:textId="6EE7EB4F" w:rsidR="00FA5770" w:rsidRPr="00301B0F" w:rsidRDefault="001D23BE" w:rsidP="005F73A6">
      <w:pPr>
        <w:pStyle w:val="ListParagraph"/>
        <w:numPr>
          <w:ilvl w:val="2"/>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letter</w:t>
      </w:r>
      <w:r w:rsidR="009168DD" w:rsidRPr="00301B0F">
        <w:rPr>
          <w:color w:val="000000" w:themeColor="text1"/>
          <w:lang w:val="en-GB"/>
        </w:rPr>
        <w:t xml:space="preserve"> a)</w:t>
      </w:r>
      <w:r w:rsidR="006952B7" w:rsidRPr="00301B0F">
        <w:rPr>
          <w:color w:val="000000" w:themeColor="text1"/>
          <w:lang w:val="en-GB"/>
        </w:rPr>
        <w:t>,</w:t>
      </w:r>
      <w:r w:rsidR="009168DD" w:rsidRPr="00301B0F">
        <w:rPr>
          <w:color w:val="000000" w:themeColor="text1"/>
          <w:lang w:val="en-GB"/>
        </w:rPr>
        <w:t xml:space="preserve"> </w:t>
      </w:r>
      <w:r w:rsidRPr="00301B0F">
        <w:rPr>
          <w:color w:val="000000" w:themeColor="text1"/>
          <w:lang w:val="en-GB"/>
        </w:rPr>
        <w:t>after the words</w:t>
      </w:r>
      <w:r w:rsidR="009168DD" w:rsidRPr="00301B0F">
        <w:rPr>
          <w:color w:val="000000" w:themeColor="text1"/>
          <w:lang w:val="en-GB"/>
        </w:rPr>
        <w:t xml:space="preserve"> </w:t>
      </w:r>
      <w:r w:rsidRPr="00301B0F">
        <w:rPr>
          <w:color w:val="000000" w:themeColor="text1"/>
          <w:lang w:val="en-GB"/>
        </w:rPr>
        <w:t>“to cancel</w:t>
      </w:r>
      <w:r w:rsidR="009168DD" w:rsidRPr="00301B0F">
        <w:rPr>
          <w:color w:val="000000" w:themeColor="text1"/>
          <w:lang w:val="en-GB"/>
        </w:rPr>
        <w:t xml:space="preserve">” </w:t>
      </w:r>
      <w:r w:rsidRPr="00301B0F">
        <w:rPr>
          <w:color w:val="000000" w:themeColor="text1"/>
          <w:lang w:val="en-GB"/>
        </w:rPr>
        <w:t>shall be added the words</w:t>
      </w:r>
      <w:r w:rsidR="009168DD" w:rsidRPr="00301B0F">
        <w:rPr>
          <w:color w:val="000000" w:themeColor="text1"/>
          <w:lang w:val="en-GB"/>
        </w:rPr>
        <w:t xml:space="preserve"> </w:t>
      </w:r>
      <w:r w:rsidRPr="00301B0F">
        <w:rPr>
          <w:color w:val="000000" w:themeColor="text1"/>
          <w:lang w:val="en-GB"/>
        </w:rPr>
        <w:t>“or amend</w:t>
      </w:r>
      <w:r w:rsidR="009168DD" w:rsidRPr="00301B0F">
        <w:rPr>
          <w:color w:val="000000" w:themeColor="text1"/>
          <w:lang w:val="en-GB"/>
        </w:rPr>
        <w:t>”;</w:t>
      </w:r>
    </w:p>
    <w:p w14:paraId="01A22650" w14:textId="40488203" w:rsidR="009168DD" w:rsidRPr="00301B0F" w:rsidRDefault="001D23BE" w:rsidP="005F73A6">
      <w:pPr>
        <w:pStyle w:val="ListParagraph"/>
        <w:numPr>
          <w:ilvl w:val="2"/>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letter b), before the word “protection,” the word “credit” shall be added.</w:t>
      </w:r>
      <w:r w:rsidR="009168DD" w:rsidRPr="00301B0F">
        <w:rPr>
          <w:color w:val="000000" w:themeColor="text1"/>
          <w:lang w:val="en-GB"/>
        </w:rPr>
        <w:t>”;</w:t>
      </w:r>
    </w:p>
    <w:p w14:paraId="45DC18F9" w14:textId="4000AC30" w:rsidR="009168DD" w:rsidRPr="00301B0F" w:rsidRDefault="001D23BE" w:rsidP="005F73A6">
      <w:pPr>
        <w:pStyle w:val="ListParagraph"/>
        <w:numPr>
          <w:ilvl w:val="2"/>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 xml:space="preserve">in letter c), after the text “Regulation No 111/2018,” the following words shall be added: “and the normative act of the National Bank of Moldova regarding the treatment of credit risk in accordance with the internal </w:t>
      </w:r>
      <w:proofErr w:type="gramStart"/>
      <w:r w:rsidRPr="00301B0F">
        <w:rPr>
          <w:color w:val="000000" w:themeColor="text1"/>
          <w:lang w:val="en-GB"/>
        </w:rPr>
        <w:t>ratings</w:t>
      </w:r>
      <w:r w:rsidR="007A1F62">
        <w:rPr>
          <w:color w:val="000000" w:themeColor="text1"/>
          <w:lang w:val="en-GB"/>
        </w:rPr>
        <w:t xml:space="preserve"> </w:t>
      </w:r>
      <w:r w:rsidRPr="00301B0F">
        <w:rPr>
          <w:color w:val="000000" w:themeColor="text1"/>
          <w:lang w:val="en-GB"/>
        </w:rPr>
        <w:t>based</w:t>
      </w:r>
      <w:proofErr w:type="gramEnd"/>
      <w:r w:rsidRPr="00301B0F">
        <w:rPr>
          <w:color w:val="000000" w:themeColor="text1"/>
          <w:lang w:val="en-GB"/>
        </w:rPr>
        <w:t xml:space="preserve"> approach</w:t>
      </w:r>
      <w:r w:rsidR="009168DD" w:rsidRPr="00301B0F">
        <w:rPr>
          <w:color w:val="000000" w:themeColor="text1"/>
          <w:lang w:val="en-GB" w:eastAsia="ro-MD"/>
        </w:rPr>
        <w:t>”.</w:t>
      </w:r>
    </w:p>
    <w:p w14:paraId="34DF0386" w14:textId="7B071C45" w:rsidR="00912F3F" w:rsidRPr="00301B0F" w:rsidRDefault="001D23BE" w:rsidP="005C236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 60, sub-paragraph 1), the word “counterparty” shall be replaced with the word “debtor</w:t>
      </w:r>
      <w:r w:rsidR="00912F3F" w:rsidRPr="00301B0F">
        <w:rPr>
          <w:color w:val="000000" w:themeColor="text1"/>
          <w:lang w:val="en-GB"/>
        </w:rPr>
        <w:t>”.</w:t>
      </w:r>
    </w:p>
    <w:p w14:paraId="68E08BA8" w14:textId="20023FDE" w:rsidR="00124F8F" w:rsidRPr="00301B0F" w:rsidRDefault="001D23BE" w:rsidP="00D92B2C">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 xml:space="preserve">In paragraph </w:t>
      </w:r>
      <w:r w:rsidR="00124F8F" w:rsidRPr="00301B0F">
        <w:rPr>
          <w:color w:val="000000" w:themeColor="text1"/>
          <w:lang w:val="en-GB"/>
        </w:rPr>
        <w:t>61:</w:t>
      </w:r>
    </w:p>
    <w:p w14:paraId="34EE6006" w14:textId="1177EAB9" w:rsidR="00CA6306" w:rsidRPr="00301B0F" w:rsidRDefault="00834420" w:rsidP="00EE3412">
      <w:pPr>
        <w:pStyle w:val="ListParagraph"/>
        <w:numPr>
          <w:ilvl w:val="2"/>
          <w:numId w:val="27"/>
        </w:numPr>
        <w:tabs>
          <w:tab w:val="left" w:pos="0"/>
        </w:tabs>
        <w:spacing w:before="80"/>
        <w:ind w:left="0" w:firstLine="567"/>
        <w:contextualSpacing w:val="0"/>
        <w:jc w:val="both"/>
        <w:rPr>
          <w:color w:val="000000" w:themeColor="text1"/>
          <w:lang w:val="en-GB"/>
        </w:rPr>
      </w:pPr>
      <w:r w:rsidRPr="00301B0F">
        <w:rPr>
          <w:color w:val="000000" w:themeColor="text1"/>
          <w:lang w:val="en-GB"/>
        </w:rPr>
        <w:t xml:space="preserve">in </w:t>
      </w:r>
      <w:r w:rsidR="007833D5" w:rsidRPr="00301B0F">
        <w:rPr>
          <w:color w:val="000000" w:themeColor="text1"/>
          <w:lang w:val="en-GB"/>
        </w:rPr>
        <w:t xml:space="preserve">the introductory part, the words “the requirements of” shall be supplemented with the text </w:t>
      </w:r>
      <w:proofErr w:type="gramStart"/>
      <w:r w:rsidR="007833D5" w:rsidRPr="00301B0F">
        <w:rPr>
          <w:color w:val="000000" w:themeColor="text1"/>
          <w:lang w:val="en-GB"/>
        </w:rPr>
        <w:t>“ paragraph</w:t>
      </w:r>
      <w:proofErr w:type="gramEnd"/>
      <w:r w:rsidR="007833D5" w:rsidRPr="00301B0F">
        <w:rPr>
          <w:color w:val="000000" w:themeColor="text1"/>
          <w:lang w:val="en-GB"/>
        </w:rPr>
        <w:t xml:space="preserve"> 53, sub-paragraph 3), letter c), and</w:t>
      </w:r>
      <w:r w:rsidR="00124F8F" w:rsidRPr="00301B0F">
        <w:rPr>
          <w:color w:val="000000" w:themeColor="text1"/>
          <w:lang w:val="en-GB" w:eastAsia="ro-MD"/>
        </w:rPr>
        <w:t>”;</w:t>
      </w:r>
    </w:p>
    <w:p w14:paraId="6DCE0E6D" w14:textId="730F3EF2" w:rsidR="00124F8F" w:rsidRPr="00301B0F" w:rsidRDefault="007833D5" w:rsidP="00EE3412">
      <w:pPr>
        <w:pStyle w:val="ListParagraph"/>
        <w:numPr>
          <w:ilvl w:val="2"/>
          <w:numId w:val="27"/>
        </w:numPr>
        <w:tabs>
          <w:tab w:val="left" w:pos="0"/>
        </w:tabs>
        <w:spacing w:before="80"/>
        <w:ind w:left="0" w:firstLine="567"/>
        <w:contextualSpacing w:val="0"/>
        <w:jc w:val="both"/>
        <w:rPr>
          <w:color w:val="000000" w:themeColor="text1"/>
          <w:lang w:val="en-GB"/>
        </w:rPr>
      </w:pPr>
      <w:r w:rsidRPr="00301B0F">
        <w:rPr>
          <w:color w:val="000000" w:themeColor="text1"/>
          <w:lang w:val="en-GB"/>
        </w:rPr>
        <w:t>sub-paragraph 1) shall be supplemented at the beginning with the following text: “in the event of default or non-payment by the original debtor</w:t>
      </w:r>
      <w:r w:rsidR="00100621" w:rsidRPr="00301B0F">
        <w:rPr>
          <w:color w:val="000000" w:themeColor="text1"/>
          <w:lang w:val="en-GB" w:eastAsia="ro-MD"/>
        </w:rPr>
        <w:t>”;</w:t>
      </w:r>
    </w:p>
    <w:p w14:paraId="15763AE9" w14:textId="24BCDF74" w:rsidR="00100621" w:rsidRPr="00301B0F" w:rsidRDefault="00834420" w:rsidP="00EE3412">
      <w:pPr>
        <w:pStyle w:val="ListParagraph"/>
        <w:numPr>
          <w:ilvl w:val="2"/>
          <w:numId w:val="27"/>
        </w:numPr>
        <w:tabs>
          <w:tab w:val="left" w:pos="0"/>
        </w:tabs>
        <w:spacing w:before="80"/>
        <w:ind w:left="0" w:firstLine="567"/>
        <w:contextualSpacing w:val="0"/>
        <w:jc w:val="both"/>
        <w:rPr>
          <w:color w:val="000000" w:themeColor="text1"/>
          <w:lang w:val="en-GB"/>
        </w:rPr>
      </w:pPr>
      <w:r w:rsidRPr="00301B0F">
        <w:rPr>
          <w:color w:val="000000" w:themeColor="text1"/>
          <w:lang w:val="en-GB" w:eastAsia="ro-MD"/>
        </w:rPr>
        <w:t>sub</w:t>
      </w:r>
      <w:r w:rsidR="007833D5" w:rsidRPr="00301B0F">
        <w:rPr>
          <w:color w:val="000000" w:themeColor="text1"/>
          <w:lang w:val="en-GB" w:eastAsia="ro-MD"/>
        </w:rPr>
        <w:t>-paragraph 2) shall be supplemented with the following text: “; this justification is properly documented and is subject to specific internal approval and audit procedures</w:t>
      </w:r>
      <w:r w:rsidR="00100621" w:rsidRPr="00301B0F">
        <w:rPr>
          <w:color w:val="000000" w:themeColor="text1"/>
          <w:lang w:val="en-GB" w:eastAsia="ro-MD"/>
        </w:rPr>
        <w:t>.”.</w:t>
      </w:r>
    </w:p>
    <w:p w14:paraId="6E6F1BFF" w14:textId="77777777" w:rsidR="007833D5" w:rsidRPr="00301B0F" w:rsidRDefault="007833D5" w:rsidP="007833D5">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 64</w:t>
      </w:r>
      <w:r w:rsidRPr="00301B0F">
        <w:rPr>
          <w:color w:val="000000" w:themeColor="text1"/>
          <w:vertAlign w:val="superscript"/>
          <w:lang w:val="en-GB"/>
        </w:rPr>
        <w:t>1</w:t>
      </w:r>
      <w:r w:rsidRPr="00301B0F">
        <w:rPr>
          <w:color w:val="000000" w:themeColor="text1"/>
          <w:lang w:val="en-GB"/>
        </w:rPr>
        <w:t xml:space="preserve"> shall be added with the following text: </w:t>
      </w:r>
    </w:p>
    <w:p w14:paraId="379206AF" w14:textId="77777777" w:rsidR="007833D5" w:rsidRPr="00301B0F" w:rsidRDefault="007833D5" w:rsidP="007833D5">
      <w:pPr>
        <w:jc w:val="both"/>
        <w:rPr>
          <w:color w:val="000000" w:themeColor="text1"/>
          <w:lang w:val="en-GB" w:eastAsia="ro-MD"/>
        </w:rPr>
      </w:pPr>
      <w:r w:rsidRPr="00301B0F">
        <w:rPr>
          <w:b/>
          <w:bCs/>
          <w:color w:val="000000" w:themeColor="text1"/>
          <w:lang w:val="en-GB" w:eastAsia="ro-MD"/>
        </w:rPr>
        <w:lastRenderedPageBreak/>
        <w:t>“64</w:t>
      </w:r>
      <w:r w:rsidRPr="00301B0F">
        <w:rPr>
          <w:b/>
          <w:bCs/>
          <w:color w:val="000000" w:themeColor="text1"/>
          <w:vertAlign w:val="superscript"/>
          <w:lang w:val="en-GB" w:eastAsia="ro-MD"/>
        </w:rPr>
        <w:t>1</w:t>
      </w:r>
      <w:r w:rsidRPr="00301B0F">
        <w:rPr>
          <w:b/>
          <w:bCs/>
          <w:color w:val="000000" w:themeColor="text1"/>
          <w:lang w:val="en-GB" w:eastAsia="ro-MD"/>
        </w:rPr>
        <w:t>.</w:t>
      </w:r>
      <w:r w:rsidRPr="00301B0F">
        <w:rPr>
          <w:color w:val="000000" w:themeColor="text1"/>
          <w:lang w:val="en-GB" w:eastAsia="ro-MD"/>
        </w:rPr>
        <w:t xml:space="preserve"> Notwithstanding paragraph 62, for an exposure to an entity that is secured by a credit derivative, the credit event referred to in paragraph 62, sub-paragraph 1 letter c), shall not be required to be specified in the derivative contract if </w:t>
      </w:r>
      <w:proofErr w:type="gramStart"/>
      <w:r w:rsidRPr="00301B0F">
        <w:rPr>
          <w:color w:val="000000" w:themeColor="text1"/>
          <w:lang w:val="en-GB" w:eastAsia="ro-MD"/>
        </w:rPr>
        <w:t>all of</w:t>
      </w:r>
      <w:proofErr w:type="gramEnd"/>
      <w:r w:rsidRPr="00301B0F">
        <w:rPr>
          <w:color w:val="000000" w:themeColor="text1"/>
          <w:lang w:val="en-GB" w:eastAsia="ro-MD"/>
        </w:rPr>
        <w:t xml:space="preserve"> the following conditions are met:</w:t>
      </w:r>
    </w:p>
    <w:p w14:paraId="78173160" w14:textId="7CD52CFE" w:rsidR="007833D5" w:rsidRPr="00301B0F" w:rsidRDefault="007833D5" w:rsidP="007833D5">
      <w:pPr>
        <w:ind w:firstLine="567"/>
        <w:jc w:val="both"/>
        <w:rPr>
          <w:color w:val="000000" w:themeColor="text1"/>
          <w:lang w:val="en-GB" w:eastAsia="ro-MD"/>
        </w:rPr>
      </w:pPr>
      <w:r w:rsidRPr="00301B0F">
        <w:rPr>
          <w:color w:val="000000" w:themeColor="text1"/>
          <w:lang w:val="en-GB" w:eastAsia="ro-MD"/>
        </w:rPr>
        <w:t>1) a 100% vote is needed to amend the maturity, principal, coupon, currency or seniority status of the underlying corporate exposure;</w:t>
      </w:r>
    </w:p>
    <w:p w14:paraId="2CCE2CDB" w14:textId="258876D9" w:rsidR="007833D5" w:rsidRPr="00301B0F" w:rsidRDefault="007833D5" w:rsidP="007833D5">
      <w:pPr>
        <w:ind w:firstLine="567"/>
        <w:jc w:val="both"/>
        <w:rPr>
          <w:color w:val="000000" w:themeColor="text1"/>
          <w:lang w:val="en-GB" w:eastAsia="ro-MD"/>
        </w:rPr>
      </w:pPr>
      <w:r w:rsidRPr="00301B0F">
        <w:rPr>
          <w:color w:val="000000" w:themeColor="text1"/>
          <w:lang w:val="en-GB" w:eastAsia="ro-MD"/>
        </w:rPr>
        <w:t>2) The jurisdiction governing exposure to companies has a well-established legal framework for bankruptcy, which allows a company to reorgani</w:t>
      </w:r>
      <w:r w:rsidR="00441768">
        <w:rPr>
          <w:color w:val="000000" w:themeColor="text1"/>
          <w:lang w:val="en-GB" w:eastAsia="ro-MD"/>
        </w:rPr>
        <w:t>s</w:t>
      </w:r>
      <w:r w:rsidRPr="00301B0F">
        <w:rPr>
          <w:color w:val="000000" w:themeColor="text1"/>
          <w:lang w:val="en-GB" w:eastAsia="ro-MD"/>
        </w:rPr>
        <w:t>e and restructure and provides for the orderly settlement of creditors’ claims.</w:t>
      </w:r>
    </w:p>
    <w:p w14:paraId="30B15309" w14:textId="7C9BA67F" w:rsidR="00551A0E" w:rsidRPr="00301B0F" w:rsidRDefault="007833D5" w:rsidP="007833D5">
      <w:pPr>
        <w:tabs>
          <w:tab w:val="left" w:pos="567"/>
        </w:tabs>
        <w:spacing w:before="80"/>
        <w:jc w:val="both"/>
        <w:rPr>
          <w:color w:val="000000" w:themeColor="text1"/>
          <w:lang w:val="en-GB"/>
        </w:rPr>
      </w:pPr>
      <w:r w:rsidRPr="00301B0F">
        <w:rPr>
          <w:color w:val="000000" w:themeColor="text1"/>
          <w:lang w:val="en-GB" w:eastAsia="ro-MD"/>
        </w:rPr>
        <w:t>If the conditions set forth in sub-paragraphs 1) and 2) are not met, the credit protection may nevertheless be eligible, subject to a reduction in value, as specified in paragraph 111</w:t>
      </w:r>
      <w:r w:rsidR="00EC0A5E" w:rsidRPr="00301B0F">
        <w:rPr>
          <w:color w:val="000000" w:themeColor="text1"/>
          <w:lang w:val="en-GB" w:eastAsia="ro-MD"/>
        </w:rPr>
        <w:t>.</w:t>
      </w:r>
      <w:r w:rsidR="00881A1C" w:rsidRPr="00301B0F">
        <w:rPr>
          <w:color w:val="000000" w:themeColor="text1"/>
          <w:lang w:val="en-GB" w:eastAsia="ro-MD"/>
        </w:rPr>
        <w:t>”</w:t>
      </w:r>
      <w:r w:rsidR="00C94E5E" w:rsidRPr="00301B0F">
        <w:rPr>
          <w:color w:val="000000" w:themeColor="text1"/>
          <w:lang w:val="en-GB"/>
        </w:rPr>
        <w:t>.</w:t>
      </w:r>
    </w:p>
    <w:p w14:paraId="60545C23" w14:textId="4FF6B0CA" w:rsidR="00D416E6" w:rsidRPr="00301B0F" w:rsidRDefault="007833D5" w:rsidP="001567B9">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 65, the words “which are denominated in the same currency” shall be excluded</w:t>
      </w:r>
      <w:r w:rsidR="001567B9" w:rsidRPr="00301B0F">
        <w:rPr>
          <w:color w:val="000000" w:themeColor="text1"/>
          <w:lang w:val="en-GB"/>
        </w:rPr>
        <w:t>.</w:t>
      </w:r>
    </w:p>
    <w:p w14:paraId="07E1A8AC" w14:textId="4E3F3CFF" w:rsidR="00242BCF" w:rsidRPr="00301B0F" w:rsidRDefault="007833D5" w:rsidP="001F56A6">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 68, the text “repurchase transactions or securities or commodities lending or borrowing transactions” shall be replaced with the text “financing transactions using financial instruments</w:t>
      </w:r>
      <w:r w:rsidR="00F36DB2" w:rsidRPr="00301B0F">
        <w:rPr>
          <w:color w:val="000000" w:themeColor="text1"/>
          <w:lang w:val="en-GB" w:eastAsia="ro-MD"/>
        </w:rPr>
        <w:t>”.</w:t>
      </w:r>
    </w:p>
    <w:p w14:paraId="07D7597D" w14:textId="7D7DFA9B" w:rsidR="00D416E6" w:rsidRPr="00301B0F" w:rsidRDefault="007833D5" w:rsidP="00D92B2C">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 69, sub-paragraph 3) shall read as follows</w:t>
      </w:r>
      <w:r w:rsidR="00A42B1F" w:rsidRPr="00301B0F">
        <w:rPr>
          <w:color w:val="000000" w:themeColor="text1"/>
          <w:lang w:val="en-GB"/>
        </w:rPr>
        <w:t>:</w:t>
      </w:r>
    </w:p>
    <w:p w14:paraId="66E51FF3" w14:textId="13678D51" w:rsidR="00A42B1F" w:rsidRPr="00301B0F" w:rsidRDefault="007833D5" w:rsidP="00A42B1F">
      <w:pPr>
        <w:tabs>
          <w:tab w:val="left" w:pos="567"/>
        </w:tabs>
        <w:spacing w:before="80"/>
        <w:jc w:val="both"/>
        <w:rPr>
          <w:color w:val="000000" w:themeColor="text1"/>
          <w:lang w:val="en-GB"/>
        </w:rPr>
      </w:pPr>
      <w:r w:rsidRPr="00301B0F">
        <w:rPr>
          <w:color w:val="000000" w:themeColor="text1"/>
          <w:lang w:val="en-GB"/>
        </w:rPr>
        <w:t>“</w:t>
      </w:r>
      <w:r w:rsidRPr="00301B0F">
        <w:rPr>
          <w:color w:val="000000" w:themeColor="text1"/>
          <w:lang w:val="en-GB" w:eastAsia="ro-MD"/>
        </w:rPr>
        <w:t>3) to apply the volatility adjustment amount or, where applicable, the absolute value of the volatility adjustment appropriate for a specific group of securities or for a specific type of commodity, to the absolute value of the positive or negative net position in the securities within that group of securities or in the commodities of that type</w:t>
      </w:r>
      <w:r w:rsidR="00010541" w:rsidRPr="00301B0F">
        <w:rPr>
          <w:color w:val="000000" w:themeColor="text1"/>
          <w:lang w:val="en-GB" w:eastAsia="ro-MD"/>
        </w:rPr>
        <w:t>;</w:t>
      </w:r>
      <w:r w:rsidR="00A42B1F" w:rsidRPr="00301B0F">
        <w:rPr>
          <w:color w:val="000000" w:themeColor="text1"/>
          <w:lang w:val="en-GB" w:eastAsia="ro-MD"/>
        </w:rPr>
        <w:t>”.</w:t>
      </w:r>
    </w:p>
    <w:p w14:paraId="541FBDDB" w14:textId="1B37F950" w:rsidR="00831AF6" w:rsidRPr="00301B0F" w:rsidRDefault="007833D5" w:rsidP="00831AF6">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 70 shall read as follows</w:t>
      </w:r>
      <w:r w:rsidR="00831AF6" w:rsidRPr="00301B0F">
        <w:rPr>
          <w:color w:val="000000" w:themeColor="text1"/>
          <w:lang w:val="en-GB"/>
        </w:rPr>
        <w:t>:</w:t>
      </w:r>
    </w:p>
    <w:p w14:paraId="1449CDB2" w14:textId="5D3EF4D0" w:rsidR="006F2AB2" w:rsidRPr="00301B0F" w:rsidRDefault="007833D5" w:rsidP="006F2AB2">
      <w:pPr>
        <w:jc w:val="both"/>
        <w:rPr>
          <w:color w:val="000000" w:themeColor="text1"/>
          <w:lang w:val="en-GB" w:eastAsia="ro-MD"/>
        </w:rPr>
      </w:pPr>
      <w:r w:rsidRPr="00301B0F">
        <w:rPr>
          <w:b/>
          <w:bCs/>
          <w:color w:val="000000" w:themeColor="text1"/>
          <w:lang w:val="en-GB" w:eastAsia="ro-MD"/>
        </w:rPr>
        <w:t>70.</w:t>
      </w:r>
      <w:r w:rsidRPr="00301B0F">
        <w:rPr>
          <w:color w:val="000000" w:themeColor="text1"/>
          <w:lang w:val="en-GB" w:eastAsia="ro-MD"/>
        </w:rPr>
        <w:t xml:space="preserve"> Banks must calculate the fully adjusted exposure amount (E*) using the following formula</w:t>
      </w:r>
      <w:r w:rsidR="006F2AB2" w:rsidRPr="00301B0F">
        <w:rPr>
          <w:color w:val="000000" w:themeColor="text1"/>
          <w:lang w:val="en-GB" w:eastAsia="ro-MD"/>
        </w:rPr>
        <w:t>:</w:t>
      </w:r>
    </w:p>
    <w:p w14:paraId="2D3BB3A4" w14:textId="74037AEF" w:rsidR="006F2AB2" w:rsidRPr="00301B0F" w:rsidRDefault="007833D5" w:rsidP="006F2AB2">
      <w:pPr>
        <w:jc w:val="both"/>
        <w:rPr>
          <w:color w:val="000000" w:themeColor="text1"/>
          <w:lang w:val="en-GB" w:eastAsia="ro-MD"/>
        </w:rPr>
      </w:pPr>
      <w:r w:rsidRPr="00301B0F">
        <w:rPr>
          <w:noProof/>
          <w:lang w:val="en-GB"/>
        </w:rPr>
        <w:drawing>
          <wp:inline distT="0" distB="0" distL="0" distR="0" wp14:anchorId="44901D08" wp14:editId="325DDA87">
            <wp:extent cx="4562475" cy="622509"/>
            <wp:effectExtent l="0" t="0" r="0" b="6350"/>
            <wp:docPr id="383714626"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67329" cy="623171"/>
                    </a:xfrm>
                    <a:prstGeom prst="rect">
                      <a:avLst/>
                    </a:prstGeom>
                    <a:noFill/>
                    <a:ln>
                      <a:noFill/>
                    </a:ln>
                  </pic:spPr>
                </pic:pic>
              </a:graphicData>
            </a:graphic>
          </wp:inline>
        </w:drawing>
      </w:r>
    </w:p>
    <w:p w14:paraId="402B3D31" w14:textId="77777777" w:rsidR="007833D5" w:rsidRPr="00301B0F" w:rsidRDefault="007833D5" w:rsidP="007833D5">
      <w:pPr>
        <w:ind w:firstLine="567"/>
        <w:jc w:val="both"/>
        <w:rPr>
          <w:color w:val="000000" w:themeColor="text1"/>
          <w:lang w:val="en-GB" w:eastAsia="ro-MD"/>
        </w:rPr>
      </w:pPr>
      <w:r w:rsidRPr="00301B0F">
        <w:rPr>
          <w:color w:val="000000" w:themeColor="text1"/>
          <w:lang w:val="en-GB" w:eastAsia="ro-MD"/>
        </w:rPr>
        <w:t>where:</w:t>
      </w:r>
    </w:p>
    <w:p w14:paraId="55D760DC" w14:textId="77777777" w:rsidR="007833D5" w:rsidRPr="00301B0F" w:rsidRDefault="007833D5" w:rsidP="007833D5">
      <w:pPr>
        <w:ind w:firstLine="567"/>
        <w:jc w:val="both"/>
        <w:rPr>
          <w:color w:val="000000" w:themeColor="text1"/>
          <w:lang w:val="en-GB" w:eastAsia="ro-MD"/>
        </w:rPr>
      </w:pPr>
      <w:r w:rsidRPr="00301B0F">
        <w:rPr>
          <w:color w:val="000000" w:themeColor="text1"/>
          <w:lang w:val="en-GB" w:eastAsia="ro-MD"/>
        </w:rPr>
        <w:t>i = the index that denotes all securities, commodities, or separate cash positions under the agreement that are lent, sold under a repurchase agreement, or provided by the bank to the counterparty;</w:t>
      </w:r>
    </w:p>
    <w:p w14:paraId="42ABAC84" w14:textId="77777777" w:rsidR="007833D5" w:rsidRPr="00301B0F" w:rsidRDefault="007833D5" w:rsidP="007833D5">
      <w:pPr>
        <w:ind w:firstLine="567"/>
        <w:jc w:val="both"/>
        <w:rPr>
          <w:color w:val="000000" w:themeColor="text1"/>
          <w:lang w:val="en-GB" w:eastAsia="ro-MD"/>
        </w:rPr>
      </w:pPr>
      <w:r w:rsidRPr="00301B0F">
        <w:rPr>
          <w:color w:val="000000" w:themeColor="text1"/>
          <w:lang w:val="en-GB" w:eastAsia="ro-MD"/>
        </w:rPr>
        <w:t>j = the index that denotes all securities, commodities, or separate cash positions under the agreement that are borrowed, purchased with an agreement to resell, or held by the bank;</w:t>
      </w:r>
    </w:p>
    <w:p w14:paraId="4F062090" w14:textId="77777777" w:rsidR="007833D5" w:rsidRPr="00301B0F" w:rsidRDefault="007833D5" w:rsidP="007833D5">
      <w:pPr>
        <w:ind w:firstLine="567"/>
        <w:jc w:val="both"/>
        <w:rPr>
          <w:color w:val="000000" w:themeColor="text1"/>
          <w:lang w:val="en-GB" w:eastAsia="ro-MD"/>
        </w:rPr>
      </w:pPr>
      <w:r w:rsidRPr="00301B0F">
        <w:rPr>
          <w:color w:val="000000" w:themeColor="text1"/>
          <w:lang w:val="en-GB" w:eastAsia="ro-MD"/>
        </w:rPr>
        <w:t>k = the index that denotes all the separate currencies in which the securities, commodities, or cash positions under the agreement are denominated;</w:t>
      </w:r>
    </w:p>
    <w:p w14:paraId="391C21A2" w14:textId="4A1D7196" w:rsidR="007833D5" w:rsidRPr="00301B0F" w:rsidRDefault="007833D5" w:rsidP="007833D5">
      <w:pPr>
        <w:ind w:firstLine="567"/>
        <w:jc w:val="both"/>
        <w:rPr>
          <w:color w:val="000000" w:themeColor="text1"/>
          <w:lang w:val="en-GB" w:eastAsia="ro-MD"/>
        </w:rPr>
      </w:pPr>
      <w:r w:rsidRPr="00301B0F">
        <w:rPr>
          <w:color w:val="000000" w:themeColor="text1"/>
          <w:lang w:val="en-GB" w:eastAsia="ro-MD"/>
        </w:rPr>
        <w:t>E</w:t>
      </w:r>
      <w:r w:rsidRPr="00301B0F">
        <w:rPr>
          <w:color w:val="000000" w:themeColor="text1"/>
          <w:vertAlign w:val="subscript"/>
          <w:lang w:val="en-GB" w:eastAsia="ro-MD"/>
        </w:rPr>
        <w:t>i</w:t>
      </w:r>
      <w:r w:rsidRPr="00301B0F">
        <w:rPr>
          <w:color w:val="000000" w:themeColor="text1"/>
          <w:lang w:val="en-GB" w:eastAsia="ro-MD"/>
        </w:rPr>
        <w:t xml:space="preserve"> = the exposure amount for a specific security, commodity, or cash position that is lent, sold under a repurchase agreement, or provided to the counterparty under the agreement, the amount that would apply in the absence of credit protection when banks calculate risk-weighted exposure amounts in accordance with Regulation No 111/2018 or the normative act of the National Bank of Moldova regarding the treatment of credit risk under the internal ratings</w:t>
      </w:r>
      <w:r w:rsidR="00D313EA">
        <w:rPr>
          <w:color w:val="000000" w:themeColor="text1"/>
          <w:lang w:val="en-GB" w:eastAsia="ro-MD"/>
        </w:rPr>
        <w:t xml:space="preserve"> </w:t>
      </w:r>
      <w:r w:rsidRPr="00301B0F">
        <w:rPr>
          <w:color w:val="000000" w:themeColor="text1"/>
          <w:lang w:val="en-GB" w:eastAsia="ro-MD"/>
        </w:rPr>
        <w:t>based approach, as applicable;</w:t>
      </w:r>
    </w:p>
    <w:p w14:paraId="07431E38" w14:textId="77777777" w:rsidR="007833D5" w:rsidRPr="00301B0F" w:rsidRDefault="007833D5" w:rsidP="007833D5">
      <w:pPr>
        <w:ind w:firstLine="567"/>
        <w:jc w:val="both"/>
        <w:rPr>
          <w:color w:val="000000" w:themeColor="text1"/>
          <w:lang w:val="en-GB" w:eastAsia="ro-MD"/>
        </w:rPr>
      </w:pPr>
      <w:proofErr w:type="spellStart"/>
      <w:r w:rsidRPr="00301B0F">
        <w:rPr>
          <w:color w:val="000000" w:themeColor="text1"/>
          <w:lang w:val="en-GB" w:eastAsia="ro-MD"/>
        </w:rPr>
        <w:t>C</w:t>
      </w:r>
      <w:r w:rsidRPr="00301B0F">
        <w:rPr>
          <w:color w:val="000000" w:themeColor="text1"/>
          <w:vertAlign w:val="subscript"/>
          <w:lang w:val="en-GB" w:eastAsia="ro-MD"/>
        </w:rPr>
        <w:t>j</w:t>
      </w:r>
      <w:proofErr w:type="spellEnd"/>
      <w:r w:rsidRPr="00301B0F">
        <w:rPr>
          <w:color w:val="000000" w:themeColor="text1"/>
          <w:vertAlign w:val="subscript"/>
          <w:lang w:val="en-GB" w:eastAsia="ro-MD"/>
        </w:rPr>
        <w:t xml:space="preserve"> </w:t>
      </w:r>
      <w:r w:rsidRPr="00301B0F">
        <w:rPr>
          <w:color w:val="000000" w:themeColor="text1"/>
          <w:lang w:val="en-GB" w:eastAsia="ro-MD"/>
        </w:rPr>
        <w:t>= the value of a specific security, a specific commodity, or a specific position in monetary asset j, which is borrowed, purchased under a repurchase agreement, or held by the bank under the agreement;</w:t>
      </w:r>
    </w:p>
    <w:p w14:paraId="34EB0011" w14:textId="77777777" w:rsidR="007833D5" w:rsidRPr="00301B0F" w:rsidRDefault="007833D5" w:rsidP="007833D5">
      <w:pPr>
        <w:ind w:firstLine="567"/>
        <w:jc w:val="both"/>
        <w:rPr>
          <w:color w:val="000000" w:themeColor="text1"/>
          <w:lang w:val="en-GB" w:eastAsia="ro-MD"/>
        </w:rPr>
      </w:pPr>
      <w:proofErr w:type="spellStart"/>
      <w:r w:rsidRPr="00301B0F">
        <w:rPr>
          <w:color w:val="000000" w:themeColor="text1"/>
          <w:lang w:val="en-GB" w:eastAsia="ro-MD"/>
        </w:rPr>
        <w:t>E</w:t>
      </w:r>
      <w:r w:rsidRPr="00301B0F">
        <w:rPr>
          <w:color w:val="000000" w:themeColor="text1"/>
          <w:vertAlign w:val="subscript"/>
          <w:lang w:val="en-GB" w:eastAsia="ro-MD"/>
        </w:rPr>
        <w:t>k</w:t>
      </w:r>
      <w:r w:rsidRPr="00301B0F">
        <w:rPr>
          <w:color w:val="000000" w:themeColor="text1"/>
          <w:vertAlign w:val="superscript"/>
          <w:lang w:val="en-GB" w:eastAsia="ro-MD"/>
        </w:rPr>
        <w:t>fx</w:t>
      </w:r>
      <w:proofErr w:type="spellEnd"/>
      <w:r w:rsidRPr="00301B0F">
        <w:rPr>
          <w:color w:val="000000" w:themeColor="text1"/>
          <w:lang w:val="en-GB" w:eastAsia="ro-MD"/>
        </w:rPr>
        <w:t xml:space="preserve"> = the net position (positive or negative) </w:t>
      </w:r>
      <w:proofErr w:type="gramStart"/>
      <w:r w:rsidRPr="00301B0F">
        <w:rPr>
          <w:color w:val="000000" w:themeColor="text1"/>
          <w:lang w:val="en-GB" w:eastAsia="ro-MD"/>
        </w:rPr>
        <w:t>in a given</w:t>
      </w:r>
      <w:proofErr w:type="gramEnd"/>
      <w:r w:rsidRPr="00301B0F">
        <w:rPr>
          <w:color w:val="000000" w:themeColor="text1"/>
          <w:lang w:val="en-GB" w:eastAsia="ro-MD"/>
        </w:rPr>
        <w:t xml:space="preserve"> currency </w:t>
      </w:r>
      <w:r w:rsidRPr="00301B0F">
        <w:rPr>
          <w:i/>
          <w:iCs/>
          <w:color w:val="000000" w:themeColor="text1"/>
          <w:lang w:val="en-GB" w:eastAsia="ro-MD"/>
        </w:rPr>
        <w:t>k</w:t>
      </w:r>
      <w:r w:rsidRPr="00301B0F">
        <w:rPr>
          <w:color w:val="000000" w:themeColor="text1"/>
          <w:lang w:val="en-GB" w:eastAsia="ro-MD"/>
        </w:rPr>
        <w:t>, other than the settlement currency of the agreement, as calculated in accordance with paragraph 69, sub-paragraph 2);</w:t>
      </w:r>
    </w:p>
    <w:p w14:paraId="366E6F15" w14:textId="77777777" w:rsidR="007833D5" w:rsidRPr="00301B0F" w:rsidRDefault="007833D5" w:rsidP="007833D5">
      <w:pPr>
        <w:ind w:firstLine="567"/>
        <w:jc w:val="both"/>
        <w:rPr>
          <w:color w:val="000000" w:themeColor="text1"/>
          <w:lang w:val="en-GB" w:eastAsia="ro-MD"/>
        </w:rPr>
      </w:pPr>
      <w:proofErr w:type="spellStart"/>
      <w:r w:rsidRPr="00301B0F">
        <w:rPr>
          <w:color w:val="000000" w:themeColor="text1"/>
          <w:lang w:val="en-GB" w:eastAsia="ro-MD"/>
        </w:rPr>
        <w:t>H</w:t>
      </w:r>
      <w:r w:rsidRPr="00301B0F">
        <w:rPr>
          <w:color w:val="000000" w:themeColor="text1"/>
          <w:vertAlign w:val="subscript"/>
          <w:lang w:val="en-GB" w:eastAsia="ro-MD"/>
        </w:rPr>
        <w:t>j</w:t>
      </w:r>
      <w:r w:rsidRPr="00301B0F">
        <w:rPr>
          <w:color w:val="000000" w:themeColor="text1"/>
          <w:vertAlign w:val="superscript"/>
          <w:lang w:val="en-GB" w:eastAsia="ro-MD"/>
        </w:rPr>
        <w:t>sec</w:t>
      </w:r>
      <w:proofErr w:type="spellEnd"/>
      <w:r w:rsidRPr="00301B0F">
        <w:rPr>
          <w:color w:val="000000" w:themeColor="text1"/>
          <w:lang w:val="en-GB" w:eastAsia="ro-MD"/>
        </w:rPr>
        <w:t xml:space="preserve"> = the volatility adjustment appropriate for a specific group of securities </w:t>
      </w:r>
      <w:r w:rsidRPr="00301B0F">
        <w:rPr>
          <w:i/>
          <w:iCs/>
          <w:color w:val="000000" w:themeColor="text1"/>
          <w:lang w:val="en-GB" w:eastAsia="ro-MD"/>
        </w:rPr>
        <w:t>j</w:t>
      </w:r>
      <w:r w:rsidRPr="00301B0F">
        <w:rPr>
          <w:color w:val="000000" w:themeColor="text1"/>
          <w:lang w:val="en-GB" w:eastAsia="ro-MD"/>
        </w:rPr>
        <w:t>;</w:t>
      </w:r>
    </w:p>
    <w:p w14:paraId="78B78D6A" w14:textId="45A8497A" w:rsidR="006F2AB2" w:rsidRPr="00301B0F" w:rsidRDefault="007833D5" w:rsidP="007833D5">
      <w:pPr>
        <w:ind w:firstLine="567"/>
        <w:jc w:val="both"/>
        <w:rPr>
          <w:color w:val="000000" w:themeColor="text1"/>
          <w:lang w:val="en-GB" w:eastAsia="ro-MD"/>
        </w:rPr>
      </w:pPr>
      <w:proofErr w:type="spellStart"/>
      <w:r w:rsidRPr="00301B0F">
        <w:rPr>
          <w:color w:val="000000" w:themeColor="text1"/>
          <w:lang w:val="en-GB" w:eastAsia="ro-MD"/>
        </w:rPr>
        <w:lastRenderedPageBreak/>
        <w:t>H</w:t>
      </w:r>
      <w:r w:rsidRPr="00301B0F">
        <w:rPr>
          <w:color w:val="000000" w:themeColor="text1"/>
          <w:vertAlign w:val="subscript"/>
          <w:lang w:val="en-GB" w:eastAsia="ro-MD"/>
        </w:rPr>
        <w:t>k</w:t>
      </w:r>
      <w:r w:rsidRPr="00301B0F">
        <w:rPr>
          <w:color w:val="000000" w:themeColor="text1"/>
          <w:vertAlign w:val="superscript"/>
          <w:lang w:val="en-GB" w:eastAsia="ro-MD"/>
        </w:rPr>
        <w:t>fx</w:t>
      </w:r>
      <w:proofErr w:type="spellEnd"/>
      <w:r w:rsidRPr="00301B0F">
        <w:rPr>
          <w:color w:val="000000" w:themeColor="text1"/>
          <w:lang w:val="en-GB" w:eastAsia="ro-MD"/>
        </w:rPr>
        <w:t xml:space="preserve"> = the volatility adjustment related to foreign exchange risk for currency </w:t>
      </w:r>
      <w:r w:rsidRPr="00301B0F">
        <w:rPr>
          <w:i/>
          <w:iCs/>
          <w:color w:val="000000" w:themeColor="text1"/>
          <w:lang w:val="en-GB" w:eastAsia="ro-MD"/>
        </w:rPr>
        <w:t>k</w:t>
      </w:r>
      <w:r w:rsidRPr="00301B0F">
        <w:rPr>
          <w:color w:val="000000" w:themeColor="text1"/>
          <w:lang w:val="en-GB" w:eastAsia="ro-MD"/>
        </w:rPr>
        <w:t>, calculated in accordance with Section 6 of this Chapter</w:t>
      </w:r>
      <w:r w:rsidR="006F2AB2" w:rsidRPr="00301B0F">
        <w:rPr>
          <w:color w:val="000000" w:themeColor="text1"/>
          <w:lang w:val="en-GB" w:eastAsia="ro-MD"/>
        </w:rPr>
        <w:t>.</w:t>
      </w:r>
    </w:p>
    <w:p w14:paraId="34B91412" w14:textId="2C003D1A" w:rsidR="006F2AB2" w:rsidRPr="00301B0F" w:rsidRDefault="006F2AB2" w:rsidP="006F2AB2">
      <w:pPr>
        <w:ind w:firstLine="567"/>
        <w:jc w:val="both"/>
        <w:rPr>
          <w:color w:val="000000" w:themeColor="text1"/>
          <w:lang w:val="en-GB" w:eastAsia="ro-MD"/>
        </w:rPr>
      </w:pPr>
      <w:r w:rsidRPr="00301B0F">
        <w:rPr>
          <w:noProof/>
          <w:color w:val="000000" w:themeColor="text1"/>
          <w:lang w:val="en-GB"/>
        </w:rPr>
        <w:drawing>
          <wp:inline distT="0" distB="0" distL="0" distR="0" wp14:anchorId="6F9C29E4" wp14:editId="21E0CD17">
            <wp:extent cx="323850" cy="276225"/>
            <wp:effectExtent l="0" t="0" r="0" b="0"/>
            <wp:docPr id="20"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301B0F">
        <w:rPr>
          <w:color w:val="000000" w:themeColor="text1"/>
          <w:lang w:val="en-GB" w:eastAsia="ro-MD"/>
        </w:rPr>
        <w:t xml:space="preserve">= </w:t>
      </w:r>
      <w:r w:rsidR="007833D5" w:rsidRPr="00301B0F">
        <w:rPr>
          <w:color w:val="000000" w:themeColor="text1"/>
          <w:lang w:val="en-GB" w:eastAsia="ro-MD"/>
        </w:rPr>
        <w:t xml:space="preserve">the foreign exchange volatility adjustment for currency </w:t>
      </w:r>
      <w:r w:rsidRPr="00301B0F">
        <w:rPr>
          <w:i/>
          <w:iCs/>
          <w:color w:val="000000" w:themeColor="text1"/>
          <w:lang w:val="en-GB" w:eastAsia="ro-MD"/>
        </w:rPr>
        <w:t>k</w:t>
      </w:r>
      <w:r w:rsidRPr="00301B0F">
        <w:rPr>
          <w:color w:val="000000" w:themeColor="text1"/>
          <w:lang w:val="en-GB" w:eastAsia="ro-MD"/>
        </w:rPr>
        <w:t>;</w:t>
      </w:r>
    </w:p>
    <w:p w14:paraId="3B43B40E" w14:textId="2F6901ED" w:rsidR="006F2AB2" w:rsidRPr="00301B0F" w:rsidRDefault="006F2AB2" w:rsidP="006F2AB2">
      <w:pPr>
        <w:spacing w:before="195" w:line="312" w:lineRule="atLeast"/>
        <w:ind w:firstLine="567"/>
        <w:jc w:val="both"/>
        <w:rPr>
          <w:color w:val="000000" w:themeColor="text1"/>
          <w:lang w:val="en-GB" w:eastAsia="ro-MD"/>
        </w:rPr>
      </w:pPr>
      <w:r w:rsidRPr="00301B0F">
        <w:rPr>
          <w:i/>
          <w:iCs/>
          <w:color w:val="000000" w:themeColor="text1"/>
          <w:lang w:val="en-GB" w:eastAsia="ro-MD"/>
        </w:rPr>
        <w:t>E</w:t>
      </w:r>
      <w:r w:rsidRPr="00301B0F">
        <w:rPr>
          <w:i/>
          <w:iCs/>
          <w:color w:val="000000" w:themeColor="text1"/>
          <w:vertAlign w:val="subscript"/>
          <w:lang w:val="en-GB" w:eastAsia="ro-MD"/>
        </w:rPr>
        <w:t xml:space="preserve">net = </w:t>
      </w:r>
      <w:r w:rsidR="007833D5" w:rsidRPr="00301B0F">
        <w:rPr>
          <w:color w:val="000000" w:themeColor="text1"/>
          <w:lang w:val="en-GB" w:eastAsia="ro-MD"/>
        </w:rPr>
        <w:t>the net exposure of the agreement, calculated as follows</w:t>
      </w:r>
      <w:r w:rsidRPr="00301B0F">
        <w:rPr>
          <w:color w:val="000000" w:themeColor="text1"/>
          <w:lang w:val="en-GB" w:eastAsia="ro-MD"/>
        </w:rPr>
        <w:t>:</w:t>
      </w:r>
    </w:p>
    <w:p w14:paraId="2F5F5BCC" w14:textId="77777777" w:rsidR="006F2AB2" w:rsidRPr="00301B0F" w:rsidRDefault="006F2AB2" w:rsidP="006F2AB2">
      <w:pPr>
        <w:shd w:val="clear" w:color="auto" w:fill="FFFFFF"/>
        <w:spacing w:before="120" w:line="312" w:lineRule="atLeast"/>
        <w:jc w:val="both"/>
        <w:rPr>
          <w:color w:val="000000" w:themeColor="text1"/>
          <w:lang w:val="en-GB" w:eastAsia="ro-MD"/>
        </w:rPr>
      </w:pPr>
      <w:r w:rsidRPr="00301B0F">
        <w:rPr>
          <w:noProof/>
          <w:color w:val="000000" w:themeColor="text1"/>
          <w:lang w:val="en-GB"/>
        </w:rPr>
        <w:drawing>
          <wp:inline distT="0" distB="0" distL="0" distR="0" wp14:anchorId="7DAD7DA6" wp14:editId="03BA4072">
            <wp:extent cx="1847850" cy="685800"/>
            <wp:effectExtent l="0" t="0" r="0" b="0"/>
            <wp:docPr id="19"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7850" cy="685800"/>
                    </a:xfrm>
                    <a:prstGeom prst="rect">
                      <a:avLst/>
                    </a:prstGeom>
                    <a:noFill/>
                    <a:ln>
                      <a:noFill/>
                    </a:ln>
                  </pic:spPr>
                </pic:pic>
              </a:graphicData>
            </a:graphic>
          </wp:inline>
        </w:drawing>
      </w:r>
    </w:p>
    <w:p w14:paraId="78516B5C" w14:textId="418EC2D2" w:rsidR="006F2AB2" w:rsidRPr="00301B0F" w:rsidRDefault="007833D5" w:rsidP="006F2AB2">
      <w:pPr>
        <w:shd w:val="clear" w:color="auto" w:fill="FFFFFF"/>
        <w:spacing w:before="120" w:line="312" w:lineRule="atLeast"/>
        <w:jc w:val="both"/>
        <w:rPr>
          <w:color w:val="000000" w:themeColor="text1"/>
          <w:lang w:val="en-GB" w:eastAsia="ro-MD"/>
        </w:rPr>
      </w:pPr>
      <w:r w:rsidRPr="00301B0F">
        <w:rPr>
          <w:color w:val="000000" w:themeColor="text1"/>
          <w:lang w:val="en-GB" w:eastAsia="ro-MD"/>
        </w:rPr>
        <w:t>where</w:t>
      </w:r>
      <w:r w:rsidR="006F2AB2" w:rsidRPr="00301B0F">
        <w:rPr>
          <w:color w:val="000000" w:themeColor="text1"/>
          <w:lang w:val="en-GB" w:eastAsia="ro-MD"/>
        </w:rPr>
        <w:t>:</w:t>
      </w:r>
    </w:p>
    <w:tbl>
      <w:tblPr>
        <w:tblW w:w="5000" w:type="pct"/>
        <w:tblCellMar>
          <w:left w:w="0" w:type="dxa"/>
          <w:right w:w="0" w:type="dxa"/>
        </w:tblCellMar>
        <w:tblLook w:val="04A0" w:firstRow="1" w:lastRow="0" w:firstColumn="1" w:lastColumn="0" w:noHBand="0" w:noVBand="1"/>
      </w:tblPr>
      <w:tblGrid>
        <w:gridCol w:w="67"/>
        <w:gridCol w:w="9622"/>
      </w:tblGrid>
      <w:tr w:rsidR="006F2AB2" w:rsidRPr="00301B0F" w14:paraId="64200FE9" w14:textId="77777777" w:rsidTr="003425C4">
        <w:tc>
          <w:tcPr>
            <w:tcW w:w="11" w:type="pct"/>
            <w:hideMark/>
          </w:tcPr>
          <w:p w14:paraId="6690A8D9" w14:textId="77777777" w:rsidR="006F2AB2" w:rsidRPr="00301B0F" w:rsidRDefault="006F2AB2" w:rsidP="003425C4">
            <w:pPr>
              <w:spacing w:before="195" w:line="312" w:lineRule="atLeast"/>
              <w:rPr>
                <w:i/>
                <w:iCs/>
                <w:color w:val="000000" w:themeColor="text1"/>
                <w:lang w:val="en-GB" w:eastAsia="ro-MD"/>
              </w:rPr>
            </w:pPr>
            <w:r w:rsidRPr="00301B0F">
              <w:rPr>
                <w:i/>
                <w:iCs/>
                <w:color w:val="000000" w:themeColor="text1"/>
                <w:lang w:val="en-GB" w:eastAsia="ro-MD"/>
              </w:rPr>
              <w:t>l</w:t>
            </w:r>
          </w:p>
        </w:tc>
        <w:tc>
          <w:tcPr>
            <w:tcW w:w="4989" w:type="pct"/>
            <w:hideMark/>
          </w:tcPr>
          <w:p w14:paraId="56AA738F" w14:textId="4C3B6036" w:rsidR="006F2AB2" w:rsidRPr="00301B0F" w:rsidRDefault="006F2AB2" w:rsidP="003425C4">
            <w:pPr>
              <w:spacing w:before="120" w:line="312" w:lineRule="atLeast"/>
              <w:jc w:val="both"/>
              <w:rPr>
                <w:color w:val="000000" w:themeColor="text1"/>
                <w:lang w:val="en-GB" w:eastAsia="ro-MD"/>
              </w:rPr>
            </w:pPr>
            <w:r w:rsidRPr="00301B0F">
              <w:rPr>
                <w:color w:val="000000" w:themeColor="text1"/>
                <w:lang w:val="en-GB" w:eastAsia="ro-MD"/>
              </w:rPr>
              <w:t xml:space="preserve"> = </w:t>
            </w:r>
            <w:r w:rsidR="007833D5" w:rsidRPr="00301B0F">
              <w:rPr>
                <w:color w:val="000000" w:themeColor="text1"/>
                <w:lang w:val="en-GB" w:eastAsia="ro-MD"/>
              </w:rPr>
              <w:t>the index that denotes all distinct groups of the same securities and all distinct types of the same commodities under the agreement</w:t>
            </w:r>
            <w:r w:rsidRPr="00301B0F">
              <w:rPr>
                <w:color w:val="000000" w:themeColor="text1"/>
                <w:lang w:val="en-GB" w:eastAsia="ro-MD"/>
              </w:rPr>
              <w:t>;</w:t>
            </w:r>
          </w:p>
        </w:tc>
      </w:tr>
    </w:tbl>
    <w:p w14:paraId="3D0F4B1E" w14:textId="77777777" w:rsidR="006F2AB2" w:rsidRPr="00301B0F" w:rsidRDefault="006F2AB2" w:rsidP="006F2AB2">
      <w:pPr>
        <w:shd w:val="clear" w:color="auto" w:fill="FFFFFF"/>
        <w:rPr>
          <w:vanish/>
          <w:color w:val="000000" w:themeColor="text1"/>
          <w:lang w:val="en-GB" w:eastAsia="ro-MD"/>
        </w:rPr>
      </w:pPr>
    </w:p>
    <w:tbl>
      <w:tblPr>
        <w:tblW w:w="5000" w:type="pct"/>
        <w:tblCellMar>
          <w:left w:w="0" w:type="dxa"/>
          <w:right w:w="0" w:type="dxa"/>
        </w:tblCellMar>
        <w:tblLook w:val="04A0" w:firstRow="1" w:lastRow="0" w:firstColumn="1" w:lastColumn="0" w:noHBand="0" w:noVBand="1"/>
      </w:tblPr>
      <w:tblGrid>
        <w:gridCol w:w="570"/>
        <w:gridCol w:w="9119"/>
      </w:tblGrid>
      <w:tr w:rsidR="006F2AB2" w:rsidRPr="00301B0F" w14:paraId="56204625" w14:textId="77777777" w:rsidTr="003425C4">
        <w:tc>
          <w:tcPr>
            <w:tcW w:w="0" w:type="auto"/>
            <w:hideMark/>
          </w:tcPr>
          <w:p w14:paraId="0EC17FD7" w14:textId="77777777" w:rsidR="006F2AB2" w:rsidRPr="00301B0F" w:rsidRDefault="006F2AB2" w:rsidP="003425C4">
            <w:pPr>
              <w:spacing w:before="195" w:line="312" w:lineRule="atLeast"/>
              <w:rPr>
                <w:color w:val="000000" w:themeColor="text1"/>
                <w:lang w:val="en-GB" w:eastAsia="ro-MD"/>
              </w:rPr>
            </w:pPr>
            <w:r w:rsidRPr="00301B0F">
              <w:rPr>
                <w:noProof/>
                <w:color w:val="000000" w:themeColor="text1"/>
                <w:lang w:val="en-GB"/>
              </w:rPr>
              <w:drawing>
                <wp:inline distT="0" distB="0" distL="0" distR="0" wp14:anchorId="1B4701B3" wp14:editId="780639B5">
                  <wp:extent cx="361950" cy="276225"/>
                  <wp:effectExtent l="0" t="0" r="0" b="0"/>
                  <wp:docPr id="23" name="Picture 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0" w:type="auto"/>
            <w:hideMark/>
          </w:tcPr>
          <w:p w14:paraId="30520897" w14:textId="5DABC3CA" w:rsidR="006F2AB2" w:rsidRPr="00301B0F" w:rsidRDefault="006F2AB2" w:rsidP="003425C4">
            <w:pPr>
              <w:spacing w:before="120" w:line="312" w:lineRule="atLeast"/>
              <w:jc w:val="both"/>
              <w:rPr>
                <w:color w:val="000000" w:themeColor="text1"/>
                <w:lang w:val="en-GB" w:eastAsia="ro-MD"/>
              </w:rPr>
            </w:pPr>
            <w:r w:rsidRPr="00301B0F">
              <w:rPr>
                <w:color w:val="000000" w:themeColor="text1"/>
                <w:lang w:val="en-GB" w:eastAsia="ro-MD"/>
              </w:rPr>
              <w:t xml:space="preserve">= </w:t>
            </w:r>
            <w:r w:rsidR="007833D5" w:rsidRPr="00301B0F">
              <w:rPr>
                <w:color w:val="000000" w:themeColor="text1"/>
                <w:lang w:val="en-GB" w:eastAsia="ro-MD"/>
              </w:rPr>
              <w:t xml:space="preserve">the net position (positive or negative) </w:t>
            </w:r>
            <w:proofErr w:type="gramStart"/>
            <w:r w:rsidR="007833D5" w:rsidRPr="00301B0F">
              <w:rPr>
                <w:color w:val="000000" w:themeColor="text1"/>
                <w:lang w:val="en-GB" w:eastAsia="ro-MD"/>
              </w:rPr>
              <w:t>in a given</w:t>
            </w:r>
            <w:proofErr w:type="gramEnd"/>
            <w:r w:rsidR="007833D5" w:rsidRPr="00301B0F">
              <w:rPr>
                <w:color w:val="000000" w:themeColor="text1"/>
                <w:lang w:val="en-GB" w:eastAsia="ro-MD"/>
              </w:rPr>
              <w:t xml:space="preserve"> group of securities l, or a given type of commodities l, under the agreement, calculated in accordance with paragraph 69 sub-paragraph 1</w:t>
            </w:r>
            <w:r w:rsidRPr="00301B0F">
              <w:rPr>
                <w:color w:val="000000" w:themeColor="text1"/>
                <w:lang w:val="en-GB" w:eastAsia="ro-MD"/>
              </w:rPr>
              <w:t>);</w:t>
            </w:r>
          </w:p>
        </w:tc>
      </w:tr>
    </w:tbl>
    <w:p w14:paraId="2F2FE99C" w14:textId="77777777" w:rsidR="006F2AB2" w:rsidRPr="00301B0F" w:rsidRDefault="006F2AB2" w:rsidP="006F2AB2">
      <w:pPr>
        <w:shd w:val="clear" w:color="auto" w:fill="FFFFFF"/>
        <w:rPr>
          <w:vanish/>
          <w:color w:val="000000" w:themeColor="text1"/>
          <w:lang w:val="en-GB" w:eastAsia="ro-MD"/>
        </w:rPr>
      </w:pPr>
    </w:p>
    <w:tbl>
      <w:tblPr>
        <w:tblW w:w="5000" w:type="pct"/>
        <w:tblCellMar>
          <w:left w:w="0" w:type="dxa"/>
          <w:right w:w="0" w:type="dxa"/>
        </w:tblCellMar>
        <w:tblLook w:val="04A0" w:firstRow="1" w:lastRow="0" w:firstColumn="1" w:lastColumn="0" w:noHBand="0" w:noVBand="1"/>
      </w:tblPr>
      <w:tblGrid>
        <w:gridCol w:w="570"/>
        <w:gridCol w:w="9119"/>
      </w:tblGrid>
      <w:tr w:rsidR="006F2AB2" w:rsidRPr="00301B0F" w14:paraId="55C550DB" w14:textId="77777777" w:rsidTr="003425C4">
        <w:tc>
          <w:tcPr>
            <w:tcW w:w="0" w:type="auto"/>
            <w:hideMark/>
          </w:tcPr>
          <w:p w14:paraId="5C21DC4A" w14:textId="77777777" w:rsidR="006F2AB2" w:rsidRPr="00301B0F" w:rsidRDefault="006F2AB2" w:rsidP="003425C4">
            <w:pPr>
              <w:spacing w:before="195" w:line="312" w:lineRule="atLeast"/>
              <w:rPr>
                <w:color w:val="000000" w:themeColor="text1"/>
                <w:lang w:val="en-GB" w:eastAsia="ro-MD"/>
              </w:rPr>
            </w:pPr>
            <w:r w:rsidRPr="00301B0F">
              <w:rPr>
                <w:noProof/>
                <w:color w:val="000000" w:themeColor="text1"/>
                <w:lang w:val="en-GB"/>
              </w:rPr>
              <w:drawing>
                <wp:inline distT="0" distB="0" distL="0" distR="0" wp14:anchorId="6DDF2662" wp14:editId="5F130727">
                  <wp:extent cx="361950" cy="276225"/>
                  <wp:effectExtent l="0" t="0" r="0" b="0"/>
                  <wp:docPr id="24" name="Picture 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0" w:type="auto"/>
            <w:hideMark/>
          </w:tcPr>
          <w:p w14:paraId="1A0CDBD3" w14:textId="5EC96FBE" w:rsidR="006F2AB2" w:rsidRPr="00301B0F" w:rsidRDefault="006F2AB2" w:rsidP="003425C4">
            <w:pPr>
              <w:spacing w:before="120" w:line="312" w:lineRule="atLeast"/>
              <w:jc w:val="both"/>
              <w:rPr>
                <w:color w:val="000000" w:themeColor="text1"/>
                <w:lang w:val="en-GB" w:eastAsia="ro-MD"/>
              </w:rPr>
            </w:pPr>
            <w:r w:rsidRPr="00301B0F">
              <w:rPr>
                <w:color w:val="000000" w:themeColor="text1"/>
                <w:lang w:val="en-GB" w:eastAsia="ro-MD"/>
              </w:rPr>
              <w:t xml:space="preserve">= </w:t>
            </w:r>
            <w:r w:rsidR="007833D5" w:rsidRPr="00301B0F">
              <w:rPr>
                <w:color w:val="000000" w:themeColor="text1"/>
                <w:lang w:val="en-GB" w:eastAsia="ro-MD"/>
              </w:rPr>
              <w:t xml:space="preserve">the volatility adjustment appropriate to a given group of securities l, or a given type of commodities l, determined in accordance with paragraph 69 sub-paragraph 3); the sign of </w:t>
            </w:r>
            <w:r w:rsidR="007833D5" w:rsidRPr="00301B0F">
              <w:rPr>
                <w:noProof/>
                <w:color w:val="000000" w:themeColor="text1"/>
                <w:lang w:val="en-GB"/>
              </w:rPr>
              <w:drawing>
                <wp:inline distT="0" distB="0" distL="0" distR="0" wp14:anchorId="70D0BE36" wp14:editId="7CD3A94E">
                  <wp:extent cx="361950" cy="276225"/>
                  <wp:effectExtent l="0" t="0" r="0" b="0"/>
                  <wp:docPr id="25"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7833D5" w:rsidRPr="00301B0F">
              <w:rPr>
                <w:color w:val="000000" w:themeColor="text1"/>
                <w:lang w:val="en-GB" w:eastAsia="ro-MD"/>
              </w:rPr>
              <w:t> shall be determined as follows</w:t>
            </w:r>
            <w:r w:rsidRPr="00301B0F">
              <w:rPr>
                <w:color w:val="000000" w:themeColor="text1"/>
                <w:lang w:val="en-GB" w:eastAsia="ro-MD"/>
              </w:rPr>
              <w:t>:</w:t>
            </w:r>
          </w:p>
          <w:p w14:paraId="6100967B" w14:textId="77777777" w:rsidR="007833D5" w:rsidRPr="00301B0F" w:rsidRDefault="007833D5" w:rsidP="007833D5">
            <w:pPr>
              <w:jc w:val="both"/>
              <w:rPr>
                <w:color w:val="000000" w:themeColor="text1"/>
                <w:lang w:val="en-GB" w:eastAsia="ro-MD"/>
              </w:rPr>
            </w:pPr>
            <w:r w:rsidRPr="00301B0F">
              <w:rPr>
                <w:color w:val="000000" w:themeColor="text1"/>
                <w:lang w:val="en-GB" w:eastAsia="ro-MD"/>
              </w:rPr>
              <w:t xml:space="preserve">1) it shall have a positive sign where the group of securities l is lent, sold with an agreement to repurchase, or transacted in a manner </w:t>
            </w:r>
            <w:proofErr w:type="gramStart"/>
            <w:r w:rsidRPr="00301B0F">
              <w:rPr>
                <w:color w:val="000000" w:themeColor="text1"/>
                <w:lang w:val="en-GB" w:eastAsia="ro-MD"/>
              </w:rPr>
              <w:t>similar to</w:t>
            </w:r>
            <w:proofErr w:type="gramEnd"/>
            <w:r w:rsidRPr="00301B0F">
              <w:rPr>
                <w:color w:val="000000" w:themeColor="text1"/>
                <w:lang w:val="en-GB" w:eastAsia="ro-MD"/>
              </w:rPr>
              <w:t xml:space="preserve"> either a securities lending or a repurchase agreement;</w:t>
            </w:r>
          </w:p>
          <w:p w14:paraId="689C7870" w14:textId="6E99D56E" w:rsidR="006F2AB2" w:rsidRPr="00301B0F" w:rsidRDefault="007833D5" w:rsidP="007833D5">
            <w:pPr>
              <w:jc w:val="both"/>
              <w:rPr>
                <w:color w:val="000000" w:themeColor="text1"/>
                <w:lang w:val="en-GB" w:eastAsia="ro-MD"/>
              </w:rPr>
            </w:pPr>
            <w:r w:rsidRPr="00301B0F">
              <w:rPr>
                <w:color w:val="000000" w:themeColor="text1"/>
                <w:lang w:val="en-GB" w:eastAsia="ro-MD"/>
              </w:rPr>
              <w:t xml:space="preserve">2) it shall have a negative sign where the group of securities l is borrowed, purchased with an agreement to resell, or transacted in a manner </w:t>
            </w:r>
            <w:proofErr w:type="gramStart"/>
            <w:r w:rsidRPr="00301B0F">
              <w:rPr>
                <w:color w:val="000000" w:themeColor="text1"/>
                <w:lang w:val="en-GB" w:eastAsia="ro-MD"/>
              </w:rPr>
              <w:t>similar to</w:t>
            </w:r>
            <w:proofErr w:type="gramEnd"/>
            <w:r w:rsidRPr="00301B0F">
              <w:rPr>
                <w:color w:val="000000" w:themeColor="text1"/>
                <w:lang w:val="en-GB" w:eastAsia="ro-MD"/>
              </w:rPr>
              <w:t xml:space="preserve"> either a securities borrowing or a reverse repurchase agreement</w:t>
            </w:r>
            <w:r w:rsidR="006F2AB2" w:rsidRPr="00301B0F">
              <w:rPr>
                <w:color w:val="000000" w:themeColor="text1"/>
                <w:lang w:val="en-GB" w:eastAsia="ro-MD"/>
              </w:rPr>
              <w:t>;</w:t>
            </w:r>
          </w:p>
        </w:tc>
      </w:tr>
      <w:tr w:rsidR="006F2AB2" w:rsidRPr="00301B0F" w14:paraId="74801C05" w14:textId="77777777" w:rsidTr="003425C4">
        <w:tc>
          <w:tcPr>
            <w:tcW w:w="0" w:type="auto"/>
            <w:hideMark/>
          </w:tcPr>
          <w:p w14:paraId="75956F49" w14:textId="77777777" w:rsidR="006F2AB2" w:rsidRPr="00301B0F" w:rsidRDefault="006F2AB2" w:rsidP="003425C4">
            <w:pPr>
              <w:spacing w:before="195" w:line="312" w:lineRule="atLeast"/>
              <w:rPr>
                <w:b/>
                <w:bCs/>
                <w:color w:val="000000" w:themeColor="text1"/>
                <w:lang w:val="en-GB" w:eastAsia="ro-MD"/>
              </w:rPr>
            </w:pPr>
            <w:r w:rsidRPr="00301B0F">
              <w:rPr>
                <w:b/>
                <w:bCs/>
                <w:color w:val="000000" w:themeColor="text1"/>
                <w:lang w:val="en-GB" w:eastAsia="ro-MD"/>
              </w:rPr>
              <w:t>N</w:t>
            </w:r>
          </w:p>
        </w:tc>
        <w:tc>
          <w:tcPr>
            <w:tcW w:w="0" w:type="auto"/>
            <w:hideMark/>
          </w:tcPr>
          <w:p w14:paraId="00DB34AA" w14:textId="245BDE51" w:rsidR="006F2AB2" w:rsidRPr="00301B0F" w:rsidRDefault="006F2AB2" w:rsidP="003425C4">
            <w:pPr>
              <w:spacing w:before="195" w:line="312" w:lineRule="atLeast"/>
              <w:jc w:val="both"/>
              <w:rPr>
                <w:color w:val="000000" w:themeColor="text1"/>
                <w:lang w:val="en-GB" w:eastAsia="ro-MD"/>
              </w:rPr>
            </w:pPr>
            <w:r w:rsidRPr="00301B0F">
              <w:rPr>
                <w:color w:val="000000" w:themeColor="text1"/>
                <w:lang w:val="en-GB" w:eastAsia="ro-MD"/>
              </w:rPr>
              <w:t xml:space="preserve">= </w:t>
            </w:r>
            <w:r w:rsidR="007833D5" w:rsidRPr="00301B0F">
              <w:rPr>
                <w:color w:val="000000" w:themeColor="text1"/>
                <w:lang w:val="en-GB" w:eastAsia="ro-MD"/>
              </w:rPr>
              <w:t>the total number of distinct groups of the same securities and distinct types of the same commodities under the agreement; for the purposes of this calculation, those groups and types </w:t>
            </w:r>
            <m:oMath>
              <m:sSubSup>
                <m:sSubSupPr>
                  <m:ctrlPr>
                    <w:rPr>
                      <w:rFonts w:ascii="Cambria Math" w:hAnsi="Cambria Math"/>
                      <w:i/>
                      <w:color w:val="000000" w:themeColor="text1"/>
                      <w:lang w:val="en-GB" w:eastAsia="ro-MD"/>
                    </w:rPr>
                  </m:ctrlPr>
                </m:sSubSupPr>
                <m:e>
                  <m:r>
                    <w:rPr>
                      <w:rFonts w:ascii="Cambria Math" w:hAnsi="Cambria Math"/>
                      <w:color w:val="000000" w:themeColor="text1"/>
                      <w:lang w:val="en-GB" w:eastAsia="ro-MD"/>
                    </w:rPr>
                    <m:t>E</m:t>
                  </m:r>
                </m:e>
                <m:sub>
                  <m:r>
                    <w:rPr>
                      <w:rFonts w:ascii="Cambria Math" w:hAnsi="Cambria Math"/>
                      <w:color w:val="000000" w:themeColor="text1"/>
                      <w:lang w:val="en-GB" w:eastAsia="ro-MD"/>
                    </w:rPr>
                    <m:t>l</m:t>
                  </m:r>
                </m:sub>
                <m:sup>
                  <m:r>
                    <w:rPr>
                      <w:rFonts w:ascii="Cambria Math" w:hAnsi="Cambria Math"/>
                      <w:color w:val="000000" w:themeColor="text1"/>
                      <w:lang w:val="en-GB" w:eastAsia="ro-MD"/>
                    </w:rPr>
                    <m:t>sec</m:t>
                  </m:r>
                </m:sup>
              </m:sSubSup>
            </m:oMath>
            <w:r w:rsidR="007833D5" w:rsidRPr="00301B0F">
              <w:rPr>
                <w:color w:val="000000" w:themeColor="text1"/>
                <w:lang w:val="en-GB" w:eastAsia="ro-MD"/>
              </w:rPr>
              <w:t xml:space="preserve"> for which </w:t>
            </w:r>
            <m:oMath>
              <m:d>
                <m:dPr>
                  <m:begChr m:val="|"/>
                  <m:endChr m:val="|"/>
                  <m:ctrlPr>
                    <w:rPr>
                      <w:rFonts w:ascii="Cambria Math" w:hAnsi="Cambria Math"/>
                      <w:i/>
                      <w:color w:val="000000" w:themeColor="text1"/>
                      <w:lang w:val="en-GB" w:eastAsia="ro-MD"/>
                    </w:rPr>
                  </m:ctrlPr>
                </m:dPr>
                <m:e>
                  <m:sSubSup>
                    <m:sSubSupPr>
                      <m:ctrlPr>
                        <w:rPr>
                          <w:rFonts w:ascii="Cambria Math" w:hAnsi="Cambria Math"/>
                          <w:i/>
                          <w:color w:val="000000" w:themeColor="text1"/>
                          <w:lang w:val="en-GB" w:eastAsia="ro-MD"/>
                        </w:rPr>
                      </m:ctrlPr>
                    </m:sSubSupPr>
                    <m:e>
                      <m:r>
                        <w:rPr>
                          <w:rFonts w:ascii="Cambria Math" w:hAnsi="Cambria Math"/>
                          <w:color w:val="000000" w:themeColor="text1"/>
                          <w:lang w:val="en-GB" w:eastAsia="ro-MD"/>
                        </w:rPr>
                        <m:t>E</m:t>
                      </m:r>
                    </m:e>
                    <m:sub>
                      <m:r>
                        <w:rPr>
                          <w:rFonts w:ascii="Cambria Math" w:hAnsi="Cambria Math"/>
                          <w:color w:val="000000" w:themeColor="text1"/>
                          <w:lang w:val="en-GB" w:eastAsia="ro-MD"/>
                        </w:rPr>
                        <m:t>l</m:t>
                      </m:r>
                    </m:sub>
                    <m:sup>
                      <m:r>
                        <w:rPr>
                          <w:rFonts w:ascii="Cambria Math" w:hAnsi="Cambria Math"/>
                          <w:color w:val="000000" w:themeColor="text1"/>
                          <w:lang w:val="en-GB" w:eastAsia="ro-MD"/>
                        </w:rPr>
                        <m:t>sec</m:t>
                      </m:r>
                    </m:sup>
                  </m:sSubSup>
                </m:e>
              </m:d>
            </m:oMath>
            <w:r w:rsidR="007833D5" w:rsidRPr="00301B0F">
              <w:rPr>
                <w:color w:val="000000" w:themeColor="text1"/>
                <w:lang w:val="en-GB" w:eastAsia="ro-MD"/>
              </w:rPr>
              <w:t xml:space="preserve">is less than </w:t>
            </w:r>
            <m:oMath>
              <m:f>
                <m:fPr>
                  <m:ctrlPr>
                    <w:rPr>
                      <w:rFonts w:ascii="Cambria Math" w:hAnsi="Cambria Math"/>
                      <w:i/>
                      <w:color w:val="000000" w:themeColor="text1"/>
                      <w:lang w:val="en-GB" w:eastAsia="ro-MD"/>
                    </w:rPr>
                  </m:ctrlPr>
                </m:fPr>
                <m:num>
                  <m:r>
                    <w:rPr>
                      <w:rFonts w:ascii="Cambria Math" w:hAnsi="Cambria Math"/>
                      <w:color w:val="000000" w:themeColor="text1"/>
                      <w:lang w:val="en-GB" w:eastAsia="ro-MD"/>
                    </w:rPr>
                    <m:t>1</m:t>
                  </m:r>
                </m:num>
                <m:den>
                  <m:r>
                    <w:rPr>
                      <w:rFonts w:ascii="Cambria Math" w:hAnsi="Cambria Math"/>
                      <w:color w:val="000000" w:themeColor="text1"/>
                      <w:lang w:val="en-GB" w:eastAsia="ro-MD"/>
                    </w:rPr>
                    <m:t>10</m:t>
                  </m:r>
                </m:den>
              </m:f>
              <m:sSub>
                <m:sSubPr>
                  <m:ctrlPr>
                    <w:rPr>
                      <w:rFonts w:ascii="Cambria Math" w:hAnsi="Cambria Math"/>
                      <w:i/>
                      <w:color w:val="000000" w:themeColor="text1"/>
                      <w:lang w:val="en-GB" w:eastAsia="ro-MD"/>
                    </w:rPr>
                  </m:ctrlPr>
                </m:sSubPr>
                <m:e>
                  <m:r>
                    <w:rPr>
                      <w:rFonts w:ascii="Cambria Math" w:hAnsi="Cambria Math"/>
                      <w:color w:val="000000" w:themeColor="text1"/>
                      <w:lang w:val="en-GB" w:eastAsia="ro-MD"/>
                    </w:rPr>
                    <m:t>max</m:t>
                  </m:r>
                </m:e>
                <m:sub>
                  <m:r>
                    <w:rPr>
                      <w:rFonts w:ascii="Cambria Math" w:hAnsi="Cambria Math"/>
                      <w:color w:val="000000" w:themeColor="text1"/>
                      <w:lang w:val="en-GB" w:eastAsia="ro-MD"/>
                    </w:rPr>
                    <m:t>l</m:t>
                  </m:r>
                </m:sub>
              </m:sSub>
              <m:d>
                <m:dPr>
                  <m:ctrlPr>
                    <w:rPr>
                      <w:rFonts w:ascii="Cambria Math" w:hAnsi="Cambria Math"/>
                      <w:i/>
                      <w:color w:val="000000" w:themeColor="text1"/>
                      <w:lang w:val="en-GB" w:eastAsia="ro-MD"/>
                    </w:rPr>
                  </m:ctrlPr>
                </m:dPr>
                <m:e>
                  <m:d>
                    <m:dPr>
                      <m:begChr m:val="|"/>
                      <m:endChr m:val="|"/>
                      <m:ctrlPr>
                        <w:rPr>
                          <w:rFonts w:ascii="Cambria Math" w:hAnsi="Cambria Math"/>
                          <w:i/>
                          <w:color w:val="000000" w:themeColor="text1"/>
                          <w:lang w:val="en-GB" w:eastAsia="ro-MD"/>
                        </w:rPr>
                      </m:ctrlPr>
                    </m:dPr>
                    <m:e>
                      <m:sSubSup>
                        <m:sSubSupPr>
                          <m:ctrlPr>
                            <w:rPr>
                              <w:rFonts w:ascii="Cambria Math" w:hAnsi="Cambria Math"/>
                              <w:i/>
                              <w:color w:val="000000" w:themeColor="text1"/>
                              <w:lang w:val="en-GB" w:eastAsia="ro-MD"/>
                            </w:rPr>
                          </m:ctrlPr>
                        </m:sSubSupPr>
                        <m:e>
                          <m:r>
                            <w:rPr>
                              <w:rFonts w:ascii="Cambria Math" w:hAnsi="Cambria Math"/>
                              <w:color w:val="000000" w:themeColor="text1"/>
                              <w:lang w:val="en-GB" w:eastAsia="ro-MD"/>
                            </w:rPr>
                            <m:t>E</m:t>
                          </m:r>
                        </m:e>
                        <m:sub>
                          <m:r>
                            <w:rPr>
                              <w:rFonts w:ascii="Cambria Math" w:hAnsi="Cambria Math"/>
                              <w:color w:val="000000" w:themeColor="text1"/>
                              <w:lang w:val="en-GB" w:eastAsia="ro-MD"/>
                            </w:rPr>
                            <m:t>l</m:t>
                          </m:r>
                        </m:sub>
                        <m:sup>
                          <m:r>
                            <w:rPr>
                              <w:rFonts w:ascii="Cambria Math" w:hAnsi="Cambria Math"/>
                              <w:color w:val="000000" w:themeColor="text1"/>
                              <w:lang w:val="en-GB" w:eastAsia="ro-MD"/>
                            </w:rPr>
                            <m:t>sec</m:t>
                          </m:r>
                        </m:sup>
                      </m:sSubSup>
                    </m:e>
                  </m:d>
                </m:e>
              </m:d>
            </m:oMath>
            <w:r w:rsidR="007833D5" w:rsidRPr="00301B0F">
              <w:rPr>
                <w:color w:val="000000" w:themeColor="text1"/>
                <w:lang w:val="en-GB" w:eastAsia="ro-MD"/>
              </w:rPr>
              <w:t xml:space="preserve"> shall not be counted</w:t>
            </w:r>
            <w:r w:rsidRPr="00301B0F">
              <w:rPr>
                <w:color w:val="000000" w:themeColor="text1"/>
                <w:lang w:val="en-GB" w:eastAsia="ro-MD"/>
              </w:rPr>
              <w:t>;</w:t>
            </w:r>
          </w:p>
        </w:tc>
      </w:tr>
      <w:tr w:rsidR="000B2CBE" w:rsidRPr="00301B0F" w14:paraId="3A293CDA" w14:textId="77777777" w:rsidTr="003425C4">
        <w:tc>
          <w:tcPr>
            <w:tcW w:w="0" w:type="auto"/>
            <w:hideMark/>
          </w:tcPr>
          <w:p w14:paraId="6A7AFCC7" w14:textId="4182AD94" w:rsidR="006F2AB2" w:rsidRPr="00301B0F" w:rsidRDefault="006F2AB2" w:rsidP="003425C4">
            <w:pPr>
              <w:spacing w:before="195" w:line="312" w:lineRule="atLeast"/>
              <w:rPr>
                <w:b/>
                <w:bCs/>
                <w:color w:val="000000" w:themeColor="text1"/>
                <w:lang w:val="en-GB" w:eastAsia="ro-MD"/>
              </w:rPr>
            </w:pPr>
            <w:proofErr w:type="spellStart"/>
            <w:r w:rsidRPr="00301B0F">
              <w:rPr>
                <w:b/>
                <w:bCs/>
                <w:i/>
                <w:iCs/>
                <w:color w:val="000000" w:themeColor="text1"/>
                <w:lang w:val="en-GB" w:eastAsia="ro-MD"/>
              </w:rPr>
              <w:t>E</w:t>
            </w:r>
            <w:r w:rsidR="007833D5" w:rsidRPr="00301B0F">
              <w:rPr>
                <w:b/>
                <w:bCs/>
                <w:i/>
                <w:iCs/>
                <w:color w:val="000000" w:themeColor="text1"/>
                <w:vertAlign w:val="subscript"/>
                <w:lang w:val="en-GB" w:eastAsia="ro-MD"/>
              </w:rPr>
              <w:t>gross</w:t>
            </w:r>
            <w:proofErr w:type="spellEnd"/>
          </w:p>
        </w:tc>
        <w:tc>
          <w:tcPr>
            <w:tcW w:w="0" w:type="auto"/>
            <w:hideMark/>
          </w:tcPr>
          <w:p w14:paraId="0B403B22" w14:textId="1E88D98C" w:rsidR="006F2AB2" w:rsidRPr="00301B0F" w:rsidRDefault="006F2AB2" w:rsidP="003425C4">
            <w:pPr>
              <w:spacing w:before="120" w:line="312" w:lineRule="atLeast"/>
              <w:jc w:val="both"/>
              <w:rPr>
                <w:color w:val="000000" w:themeColor="text1"/>
                <w:lang w:val="en-GB" w:eastAsia="ro-MD"/>
              </w:rPr>
            </w:pPr>
            <w:r w:rsidRPr="00301B0F">
              <w:rPr>
                <w:color w:val="000000" w:themeColor="text1"/>
                <w:lang w:val="en-GB" w:eastAsia="ro-MD"/>
              </w:rPr>
              <w:t xml:space="preserve">= </w:t>
            </w:r>
            <w:r w:rsidR="001F5888" w:rsidRPr="00301B0F">
              <w:rPr>
                <w:color w:val="000000" w:themeColor="text1"/>
                <w:lang w:val="en-GB" w:eastAsia="ro-MD"/>
              </w:rPr>
              <w:t>the gross exposure of the agreement, calculated as follows</w:t>
            </w:r>
            <w:r w:rsidRPr="00301B0F">
              <w:rPr>
                <w:color w:val="000000" w:themeColor="text1"/>
                <w:lang w:val="en-GB" w:eastAsia="ro-MD"/>
              </w:rPr>
              <w:t>:</w:t>
            </w:r>
          </w:p>
        </w:tc>
      </w:tr>
    </w:tbl>
    <w:p w14:paraId="5B104532" w14:textId="7309ABCF" w:rsidR="006F2AB2" w:rsidRPr="00301B0F" w:rsidRDefault="007833D5" w:rsidP="006F2AB2">
      <w:pPr>
        <w:spacing w:before="120" w:line="312" w:lineRule="atLeast"/>
        <w:jc w:val="both"/>
        <w:rPr>
          <w:color w:val="000000" w:themeColor="text1"/>
          <w:lang w:val="en-GB" w:eastAsia="ro-MD"/>
        </w:rPr>
      </w:pPr>
      <w:r w:rsidRPr="00301B0F">
        <w:rPr>
          <w:color w:val="000000" w:themeColor="text1"/>
          <w:lang w:val="en-GB" w:eastAsia="ro-MD"/>
        </w:rPr>
        <w:t xml:space="preserve"> </w:t>
      </w:r>
      <w:r w:rsidRPr="00301B0F">
        <w:rPr>
          <w:noProof/>
          <w:lang w:val="en-GB"/>
        </w:rPr>
        <w:drawing>
          <wp:inline distT="0" distB="0" distL="0" distR="0" wp14:anchorId="466B20CA" wp14:editId="55693E0D">
            <wp:extent cx="1619250" cy="542925"/>
            <wp:effectExtent l="0" t="0" r="0" b="9525"/>
            <wp:docPr id="87360112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r w:rsidR="008453ED" w:rsidRPr="00301B0F">
        <w:rPr>
          <w:color w:val="000000" w:themeColor="text1"/>
          <w:lang w:val="en-GB" w:eastAsia="ro-MD"/>
        </w:rPr>
        <w:t>”</w:t>
      </w:r>
      <w:r w:rsidR="006F2AB2" w:rsidRPr="00301B0F">
        <w:rPr>
          <w:color w:val="000000" w:themeColor="text1"/>
          <w:lang w:val="en-GB" w:eastAsia="ro-MD"/>
        </w:rPr>
        <w:t xml:space="preserve">.  </w:t>
      </w:r>
      <w:r w:rsidR="006F2AB2" w:rsidRPr="00301B0F">
        <w:rPr>
          <w:color w:val="000000" w:themeColor="text1"/>
          <w:sz w:val="18"/>
          <w:szCs w:val="18"/>
          <w:lang w:val="en-GB" w:eastAsia="ro-MD"/>
        </w:rPr>
        <w:t xml:space="preserve"> </w:t>
      </w:r>
    </w:p>
    <w:p w14:paraId="6EBDEAEE" w14:textId="4B4AF0A6" w:rsidR="00433305" w:rsidRPr="00301B0F" w:rsidRDefault="001F5888" w:rsidP="00831AF6">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 71, after the words “risk-weighted exposure amounts,” the words “and expected loss amounts” shall be added, and at the end, the words “or the normative act of the National Bank of Moldova regarding the treatment of credit risk under the IRB approach” shall be added</w:t>
      </w:r>
      <w:r w:rsidR="0073362D" w:rsidRPr="00301B0F">
        <w:rPr>
          <w:color w:val="000000" w:themeColor="text1"/>
          <w:lang w:val="en-GB" w:eastAsia="ro-MD"/>
        </w:rPr>
        <w:t>.”.</w:t>
      </w:r>
    </w:p>
    <w:p w14:paraId="02E5FEBB" w14:textId="55DF2FE3" w:rsidR="00831AF6" w:rsidRPr="00301B0F" w:rsidRDefault="001F5888" w:rsidP="00831AF6">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Chapter VIII shall be supplemented with Section 2</w:t>
      </w:r>
      <w:r w:rsidRPr="00301B0F">
        <w:rPr>
          <w:color w:val="000000" w:themeColor="text1"/>
          <w:vertAlign w:val="superscript"/>
          <w:lang w:val="en-GB"/>
        </w:rPr>
        <w:t>1</w:t>
      </w:r>
      <w:r w:rsidRPr="00301B0F">
        <w:rPr>
          <w:color w:val="000000" w:themeColor="text1"/>
          <w:lang w:val="en-GB"/>
        </w:rPr>
        <w:t xml:space="preserve"> with the following content</w:t>
      </w:r>
      <w:r w:rsidR="007B7B46" w:rsidRPr="00301B0F">
        <w:rPr>
          <w:color w:val="000000" w:themeColor="text1"/>
          <w:lang w:val="en-GB"/>
        </w:rPr>
        <w:t>:</w:t>
      </w:r>
    </w:p>
    <w:p w14:paraId="12A1E68E" w14:textId="16986F2D" w:rsidR="00064BD9" w:rsidRPr="00301B0F" w:rsidRDefault="001F5888" w:rsidP="001F5888">
      <w:pPr>
        <w:jc w:val="center"/>
        <w:rPr>
          <w:b/>
          <w:bCs/>
          <w:i/>
          <w:iCs/>
          <w:color w:val="000000" w:themeColor="text1"/>
          <w:lang w:val="en-GB" w:eastAsia="ro-MD"/>
        </w:rPr>
      </w:pPr>
      <w:r w:rsidRPr="00301B0F">
        <w:rPr>
          <w:b/>
          <w:bCs/>
          <w:i/>
          <w:iCs/>
          <w:color w:val="000000" w:themeColor="text1"/>
          <w:lang w:val="en-GB" w:eastAsia="ro-MD"/>
        </w:rPr>
        <w:t xml:space="preserve"> </w:t>
      </w:r>
      <w:r w:rsidRPr="00301B0F">
        <w:rPr>
          <w:color w:val="000000" w:themeColor="text1"/>
          <w:lang w:val="en-GB"/>
        </w:rPr>
        <w:t>“</w:t>
      </w:r>
      <w:r w:rsidRPr="00301B0F">
        <w:rPr>
          <w:b/>
          <w:bCs/>
          <w:i/>
          <w:iCs/>
          <w:color w:val="000000" w:themeColor="text1"/>
          <w:lang w:val="en-GB" w:eastAsia="ro-MD"/>
        </w:rPr>
        <w:t>Section 2</w:t>
      </w:r>
      <w:r w:rsidRPr="00301B0F">
        <w:rPr>
          <w:b/>
          <w:bCs/>
          <w:i/>
          <w:iCs/>
          <w:color w:val="000000" w:themeColor="text1"/>
          <w:vertAlign w:val="superscript"/>
          <w:lang w:val="en-GB" w:eastAsia="ro-MD"/>
        </w:rPr>
        <w:t>1</w:t>
      </w:r>
    </w:p>
    <w:p w14:paraId="68168371" w14:textId="57790EAB" w:rsidR="00064BD9" w:rsidRPr="00301B0F" w:rsidRDefault="001F5888" w:rsidP="00064BD9">
      <w:pPr>
        <w:jc w:val="center"/>
        <w:rPr>
          <w:color w:val="000000" w:themeColor="text1"/>
          <w:lang w:val="en-GB" w:eastAsia="ro-MD"/>
        </w:rPr>
      </w:pPr>
      <w:r w:rsidRPr="00301B0F">
        <w:rPr>
          <w:b/>
          <w:bCs/>
          <w:i/>
          <w:iCs/>
          <w:color w:val="000000" w:themeColor="text1"/>
          <w:lang w:val="en-GB" w:eastAsia="ro-MD"/>
        </w:rPr>
        <w:t>Using the internal models approach for master netting agreements</w:t>
      </w:r>
    </w:p>
    <w:p w14:paraId="42BD662F" w14:textId="3CFFD965" w:rsidR="00064BD9" w:rsidRPr="00301B0F" w:rsidRDefault="00064BD9" w:rsidP="00064BD9">
      <w:pPr>
        <w:shd w:val="clear" w:color="auto" w:fill="FFFFFF"/>
        <w:jc w:val="both"/>
        <w:rPr>
          <w:color w:val="000000" w:themeColor="text1"/>
          <w:lang w:val="en-GB" w:eastAsia="ro-MD"/>
        </w:rPr>
      </w:pPr>
      <w:r w:rsidRPr="00301B0F">
        <w:rPr>
          <w:b/>
          <w:bCs/>
          <w:color w:val="000000" w:themeColor="text1"/>
          <w:lang w:val="en-GB" w:eastAsia="ro-MD"/>
        </w:rPr>
        <w:t>72</w:t>
      </w:r>
      <w:r w:rsidRPr="00301B0F">
        <w:rPr>
          <w:b/>
          <w:bCs/>
          <w:color w:val="000000" w:themeColor="text1"/>
          <w:vertAlign w:val="superscript"/>
          <w:lang w:val="en-GB" w:eastAsia="ro-MD"/>
        </w:rPr>
        <w:t>1</w:t>
      </w:r>
      <w:r w:rsidRPr="00301B0F">
        <w:rPr>
          <w:b/>
          <w:bCs/>
          <w:color w:val="000000" w:themeColor="text1"/>
          <w:lang w:val="en-GB" w:eastAsia="ro-MD"/>
        </w:rPr>
        <w:t>.</w:t>
      </w:r>
      <w:r w:rsidRPr="00301B0F">
        <w:rPr>
          <w:color w:val="000000" w:themeColor="text1"/>
          <w:lang w:val="en-GB" w:eastAsia="ro-MD"/>
        </w:rPr>
        <w:t xml:space="preserve"> </w:t>
      </w:r>
      <w:r w:rsidR="001F5888" w:rsidRPr="00301B0F">
        <w:rPr>
          <w:color w:val="000000" w:themeColor="text1"/>
          <w:lang w:val="en-GB" w:eastAsia="ro-MD"/>
        </w:rPr>
        <w:t xml:space="preserve">For the purpose of calculating the risk-weighted exposure amounts and expected loss amounts for securities financing transactions or other capital market-driven transactions other than derivative transactions covered by an eligible master netting agreement that meets the requirements for </w:t>
      </w:r>
      <w:r w:rsidR="001F5888" w:rsidRPr="00301B0F">
        <w:rPr>
          <w:color w:val="000000" w:themeColor="text1"/>
          <w:lang w:val="en-GB" w:eastAsia="ro-MD"/>
        </w:rPr>
        <w:lastRenderedPageBreak/>
        <w:t>contractual netting set forth in Regulation No 220/2025, a bank may calculate the fully adjusted exposure amount (E*) of the agreement using the internal models approach, provided it meets the conditions set forth in paragraph 72</w:t>
      </w:r>
      <w:r w:rsidR="001F5888" w:rsidRPr="00301B0F">
        <w:rPr>
          <w:color w:val="000000" w:themeColor="text1"/>
          <w:vertAlign w:val="superscript"/>
          <w:lang w:val="en-GB" w:eastAsia="ro-MD"/>
        </w:rPr>
        <w:t>2</w:t>
      </w:r>
      <w:r w:rsidRPr="00301B0F">
        <w:rPr>
          <w:color w:val="000000" w:themeColor="text1"/>
          <w:lang w:val="en-GB" w:eastAsia="ro-MD"/>
        </w:rPr>
        <w:t>.</w:t>
      </w:r>
    </w:p>
    <w:p w14:paraId="0DFC5F67" w14:textId="77777777" w:rsidR="001F5888" w:rsidRPr="00301B0F" w:rsidRDefault="00064BD9" w:rsidP="001F5888">
      <w:pPr>
        <w:shd w:val="clear" w:color="auto" w:fill="FFFFFF"/>
        <w:jc w:val="both"/>
        <w:rPr>
          <w:color w:val="000000" w:themeColor="text1"/>
          <w:lang w:val="en-GB" w:eastAsia="ro-MD"/>
        </w:rPr>
      </w:pPr>
      <w:r w:rsidRPr="00301B0F">
        <w:rPr>
          <w:b/>
          <w:bCs/>
          <w:color w:val="000000" w:themeColor="text1"/>
          <w:lang w:val="en-GB" w:eastAsia="ro-MD"/>
        </w:rPr>
        <w:t>72</w:t>
      </w:r>
      <w:r w:rsidRPr="00301B0F">
        <w:rPr>
          <w:b/>
          <w:bCs/>
          <w:color w:val="000000" w:themeColor="text1"/>
          <w:vertAlign w:val="superscript"/>
          <w:lang w:val="en-GB" w:eastAsia="ro-MD"/>
        </w:rPr>
        <w:t>2</w:t>
      </w:r>
      <w:r w:rsidRPr="00301B0F">
        <w:rPr>
          <w:b/>
          <w:bCs/>
          <w:color w:val="000000" w:themeColor="text1"/>
          <w:lang w:val="en-GB" w:eastAsia="ro-MD"/>
        </w:rPr>
        <w:t>.</w:t>
      </w:r>
      <w:r w:rsidR="000742E5" w:rsidRPr="00301B0F">
        <w:rPr>
          <w:b/>
          <w:bCs/>
          <w:color w:val="000000" w:themeColor="text1"/>
          <w:lang w:val="en-GB" w:eastAsia="ro-MD"/>
        </w:rPr>
        <w:t xml:space="preserve"> </w:t>
      </w:r>
      <w:r w:rsidR="001F5888" w:rsidRPr="00301B0F">
        <w:rPr>
          <w:color w:val="000000" w:themeColor="text1"/>
          <w:lang w:val="en-GB" w:eastAsia="ro-MD"/>
        </w:rPr>
        <w:t xml:space="preserve">The bank may use the internal model approach if </w:t>
      </w:r>
      <w:proofErr w:type="gramStart"/>
      <w:r w:rsidR="001F5888" w:rsidRPr="00301B0F">
        <w:rPr>
          <w:color w:val="000000" w:themeColor="text1"/>
          <w:lang w:val="en-GB" w:eastAsia="ro-MD"/>
        </w:rPr>
        <w:t>all of</w:t>
      </w:r>
      <w:proofErr w:type="gramEnd"/>
      <w:r w:rsidR="001F5888" w:rsidRPr="00301B0F">
        <w:rPr>
          <w:color w:val="000000" w:themeColor="text1"/>
          <w:lang w:val="en-GB" w:eastAsia="ro-MD"/>
        </w:rPr>
        <w:t xml:space="preserve"> the following conditions are met:</w:t>
      </w:r>
    </w:p>
    <w:p w14:paraId="25E4B6AE" w14:textId="74E2E9AA"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 xml:space="preserve">1)  the bank uses this approach only for exposures for which the risk-weighted exposure amounts are calculated in accordance with the IRB approach set forth in the National Bank of Moldova’s normative act on the treatment of credit risk under the internal </w:t>
      </w:r>
      <w:proofErr w:type="gramStart"/>
      <w:r w:rsidRPr="00301B0F">
        <w:rPr>
          <w:color w:val="000000" w:themeColor="text1"/>
          <w:lang w:val="en-GB" w:eastAsia="ro-MD"/>
        </w:rPr>
        <w:t>ratings</w:t>
      </w:r>
      <w:r w:rsidR="00D313EA">
        <w:rPr>
          <w:color w:val="000000" w:themeColor="text1"/>
          <w:lang w:val="en-GB" w:eastAsia="ro-MD"/>
        </w:rPr>
        <w:t xml:space="preserve"> </w:t>
      </w:r>
      <w:r w:rsidRPr="00301B0F">
        <w:rPr>
          <w:color w:val="000000" w:themeColor="text1"/>
          <w:lang w:val="en-GB" w:eastAsia="ro-MD"/>
        </w:rPr>
        <w:t>based</w:t>
      </w:r>
      <w:proofErr w:type="gramEnd"/>
      <w:r w:rsidRPr="00301B0F">
        <w:rPr>
          <w:color w:val="000000" w:themeColor="text1"/>
          <w:lang w:val="en-GB" w:eastAsia="ro-MD"/>
        </w:rPr>
        <w:t xml:space="preserve"> approach;</w:t>
      </w:r>
    </w:p>
    <w:p w14:paraId="64C08C29" w14:textId="5240F6E5" w:rsidR="00064BD9" w:rsidRPr="00301B0F" w:rsidRDefault="001F5888" w:rsidP="0065395B">
      <w:pPr>
        <w:shd w:val="clear" w:color="auto" w:fill="FFFFFF"/>
        <w:ind w:firstLine="567"/>
        <w:jc w:val="both"/>
        <w:rPr>
          <w:color w:val="000000" w:themeColor="text1"/>
          <w:lang w:val="en-GB" w:eastAsia="ro-MD"/>
        </w:rPr>
      </w:pPr>
      <w:r w:rsidRPr="00301B0F">
        <w:rPr>
          <w:color w:val="000000" w:themeColor="text1"/>
          <w:lang w:val="en-GB" w:eastAsia="ro-MD"/>
        </w:rPr>
        <w:t>2) The bank is granted the permission from the National Bank of Moldova to use this approach</w:t>
      </w:r>
      <w:r w:rsidR="00064BD9" w:rsidRPr="00301B0F">
        <w:rPr>
          <w:color w:val="000000" w:themeColor="text1"/>
          <w:lang w:val="en-GB" w:eastAsia="ro-MD"/>
        </w:rPr>
        <w:t>.</w:t>
      </w:r>
    </w:p>
    <w:p w14:paraId="49CDDEB4" w14:textId="3F3B028C" w:rsidR="00064BD9" w:rsidRPr="00301B0F" w:rsidRDefault="00064BD9" w:rsidP="00064BD9">
      <w:pPr>
        <w:shd w:val="clear" w:color="auto" w:fill="FFFFFF"/>
        <w:jc w:val="both"/>
        <w:rPr>
          <w:color w:val="000000" w:themeColor="text1"/>
          <w:lang w:val="en-GB" w:eastAsia="ro-MD"/>
        </w:rPr>
      </w:pPr>
      <w:r w:rsidRPr="00301B0F">
        <w:rPr>
          <w:b/>
          <w:bCs/>
          <w:color w:val="000000" w:themeColor="text1"/>
          <w:lang w:val="en-GB" w:eastAsia="ro-MD"/>
        </w:rPr>
        <w:t>72</w:t>
      </w:r>
      <w:r w:rsidRPr="00301B0F">
        <w:rPr>
          <w:b/>
          <w:bCs/>
          <w:color w:val="000000" w:themeColor="text1"/>
          <w:vertAlign w:val="superscript"/>
          <w:lang w:val="en-GB" w:eastAsia="ro-MD"/>
        </w:rPr>
        <w:t>3</w:t>
      </w:r>
      <w:r w:rsidRPr="00301B0F">
        <w:rPr>
          <w:b/>
          <w:bCs/>
          <w:color w:val="000000" w:themeColor="text1"/>
          <w:lang w:val="en-GB" w:eastAsia="ro-MD"/>
        </w:rPr>
        <w:t>.</w:t>
      </w:r>
      <w:r w:rsidRPr="00301B0F">
        <w:rPr>
          <w:color w:val="000000" w:themeColor="text1"/>
          <w:lang w:val="en-GB" w:eastAsia="ro-MD"/>
        </w:rPr>
        <w:t> </w:t>
      </w:r>
      <w:r w:rsidR="001F5888" w:rsidRPr="00301B0F">
        <w:rPr>
          <w:color w:val="000000" w:themeColor="text1"/>
          <w:lang w:val="en-GB" w:eastAsia="ro-MD"/>
        </w:rPr>
        <w:t xml:space="preserve">A bank that uses an internal </w:t>
      </w:r>
      <w:proofErr w:type="gramStart"/>
      <w:r w:rsidR="001F5888" w:rsidRPr="00301B0F">
        <w:rPr>
          <w:color w:val="000000" w:themeColor="text1"/>
          <w:lang w:val="en-GB" w:eastAsia="ro-MD"/>
        </w:rPr>
        <w:t>models</w:t>
      </w:r>
      <w:proofErr w:type="gramEnd"/>
      <w:r w:rsidR="001F5888" w:rsidRPr="00301B0F">
        <w:rPr>
          <w:color w:val="000000" w:themeColor="text1"/>
          <w:lang w:val="en-GB" w:eastAsia="ro-MD"/>
        </w:rPr>
        <w:t xml:space="preserve"> approach shall apply this approach to all counterparties and securities, except for immaterial portfolios, for which it may use the regulated volatility adjustments approach set forth in paragraphs 68–72</w:t>
      </w:r>
      <w:r w:rsidRPr="00301B0F">
        <w:rPr>
          <w:color w:val="000000" w:themeColor="text1"/>
          <w:lang w:val="en-GB" w:eastAsia="ro-MD"/>
        </w:rPr>
        <w:t>.</w:t>
      </w:r>
    </w:p>
    <w:p w14:paraId="79E5891C" w14:textId="05260E8E" w:rsidR="00064BD9" w:rsidRPr="00301B0F" w:rsidRDefault="00064BD9" w:rsidP="00064BD9">
      <w:pPr>
        <w:shd w:val="clear" w:color="auto" w:fill="FFFFFF"/>
        <w:jc w:val="both"/>
        <w:rPr>
          <w:color w:val="000000" w:themeColor="text1"/>
          <w:lang w:val="en-GB" w:eastAsia="ro-MD"/>
        </w:rPr>
      </w:pPr>
      <w:r w:rsidRPr="00301B0F">
        <w:rPr>
          <w:b/>
          <w:bCs/>
          <w:color w:val="000000" w:themeColor="text1"/>
          <w:lang w:val="en-GB" w:eastAsia="ro-MD"/>
        </w:rPr>
        <w:t>72</w:t>
      </w:r>
      <w:r w:rsidRPr="00301B0F">
        <w:rPr>
          <w:b/>
          <w:bCs/>
          <w:color w:val="000000" w:themeColor="text1"/>
          <w:vertAlign w:val="superscript"/>
          <w:lang w:val="en-GB" w:eastAsia="ro-MD"/>
        </w:rPr>
        <w:t>4</w:t>
      </w:r>
      <w:r w:rsidRPr="00301B0F">
        <w:rPr>
          <w:b/>
          <w:bCs/>
          <w:color w:val="000000" w:themeColor="text1"/>
          <w:lang w:val="en-GB" w:eastAsia="ro-MD"/>
        </w:rPr>
        <w:t>.</w:t>
      </w:r>
      <w:r w:rsidRPr="00301B0F">
        <w:rPr>
          <w:color w:val="000000" w:themeColor="text1"/>
          <w:lang w:val="en-GB" w:eastAsia="ro-MD"/>
        </w:rPr>
        <w:t xml:space="preserve"> </w:t>
      </w:r>
      <w:r w:rsidR="001F5888" w:rsidRPr="00301B0F">
        <w:rPr>
          <w:color w:val="000000" w:themeColor="text1"/>
          <w:lang w:val="en-GB" w:eastAsia="ro-MD"/>
        </w:rPr>
        <w:t>The National Bank of Moldova shall permit a bank to use an internal models approach only where they are satisfied that the bank’s system for managing the risks arising from transactions covered by the master netting agreement is conceptually sound and properly implemented, and if the following qualitative requirements are met</w:t>
      </w:r>
      <w:r w:rsidRPr="00301B0F">
        <w:rPr>
          <w:color w:val="000000" w:themeColor="text1"/>
          <w:lang w:val="en-GB" w:eastAsia="ro-MD"/>
        </w:rPr>
        <w:t>:</w:t>
      </w:r>
    </w:p>
    <w:p w14:paraId="4FF7E3CC"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1) the internal risk-measurement model used for calculating the potential price volatility for the transactions is closely integrated into the daily risk-management process of the institution and serves as the basis for reporting risk exposures to the senior management of the bank;</w:t>
      </w:r>
    </w:p>
    <w:p w14:paraId="73EADC94"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2) the bank has a risk control unit that meets all the following requirements:</w:t>
      </w:r>
    </w:p>
    <w:p w14:paraId="141D00F2"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a) it is independent from business trading units and reports directly to senior management;</w:t>
      </w:r>
    </w:p>
    <w:p w14:paraId="37B9FC09"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b) it is responsible for designing and implementing the bank's risk-management system;</w:t>
      </w:r>
    </w:p>
    <w:p w14:paraId="7506C0FB"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c) it produces and analyses daily reports on the output of the risk-measurement model and on the appropriate measures to be taken in terms of position limits;</w:t>
      </w:r>
    </w:p>
    <w:p w14:paraId="1F26439D"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3) the daily reports produced by the risk-control unit are reviewed by a level of management with sufficient authority to enforce reductions of positions taken and of overall risk exposure;</w:t>
      </w:r>
    </w:p>
    <w:p w14:paraId="19FC9D34"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4) the bank has sufficient staff skilled in the use of sophisticated models in the risk control unit;</w:t>
      </w:r>
    </w:p>
    <w:p w14:paraId="0B278C17"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5) the bank has established procedures for monitoring and ensuring compliance with a documented set of internal policies and controls concerning the overall operation of the risk-measurement system;</w:t>
      </w:r>
    </w:p>
    <w:p w14:paraId="07360AAD"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6) the bank's models have a proven track record of reasonable accuracy in measuring risks demonstrated through the back-testing of its output using at least one year of data;</w:t>
      </w:r>
    </w:p>
    <w:p w14:paraId="3F444ACA"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 xml:space="preserve">7) the bank frequently conducts a rigorous programme of stress </w:t>
      </w:r>
      <w:proofErr w:type="gramStart"/>
      <w:r w:rsidRPr="00301B0F">
        <w:rPr>
          <w:color w:val="000000" w:themeColor="text1"/>
          <w:lang w:val="en-GB" w:eastAsia="ro-MD"/>
        </w:rPr>
        <w:t>testing</w:t>
      </w:r>
      <w:proofErr w:type="gramEnd"/>
      <w:r w:rsidRPr="00301B0F">
        <w:rPr>
          <w:color w:val="000000" w:themeColor="text1"/>
          <w:lang w:val="en-GB" w:eastAsia="ro-MD"/>
        </w:rPr>
        <w:t xml:space="preserve"> and the results of these tests are reviewed by senior management and reflected in the policies and limits it sets;</w:t>
      </w:r>
    </w:p>
    <w:p w14:paraId="39F60D36"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8) the bank conducts, as part of its regular internal auditing process, an independent review of its risk-measurement system. This review shall include both the activities of the business trading units and of the independent risk-control unit;</w:t>
      </w:r>
    </w:p>
    <w:p w14:paraId="2F65A4B0"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9) at least once a year, the bank conducts a review of its risk-management system;</w:t>
      </w:r>
    </w:p>
    <w:p w14:paraId="22D92866" w14:textId="62FCAEC5" w:rsidR="00064BD9"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10) The internal model meets the requirements regarding the integrity of the modelling process and the validation requirements set forth in Regulation No 220/2025</w:t>
      </w:r>
      <w:r w:rsidR="00064BD9" w:rsidRPr="00301B0F">
        <w:rPr>
          <w:color w:val="000000" w:themeColor="text1"/>
          <w:lang w:val="en-GB" w:eastAsia="ro-MD"/>
        </w:rPr>
        <w:t>.</w:t>
      </w:r>
    </w:p>
    <w:p w14:paraId="7FEF99BB" w14:textId="031F0A5C" w:rsidR="00064BD9" w:rsidRPr="00301B0F" w:rsidRDefault="00064BD9" w:rsidP="00064BD9">
      <w:pPr>
        <w:shd w:val="clear" w:color="auto" w:fill="FFFFFF"/>
        <w:jc w:val="both"/>
        <w:rPr>
          <w:color w:val="000000" w:themeColor="text1"/>
          <w:lang w:val="en-GB" w:eastAsia="ro-MD"/>
        </w:rPr>
      </w:pPr>
      <w:r w:rsidRPr="00301B0F">
        <w:rPr>
          <w:b/>
          <w:bCs/>
          <w:color w:val="000000" w:themeColor="text1"/>
          <w:lang w:val="en-GB" w:eastAsia="ro-MD"/>
        </w:rPr>
        <w:t>72</w:t>
      </w:r>
      <w:r w:rsidRPr="00301B0F">
        <w:rPr>
          <w:b/>
          <w:bCs/>
          <w:color w:val="000000" w:themeColor="text1"/>
          <w:vertAlign w:val="superscript"/>
          <w:lang w:val="en-GB" w:eastAsia="ro-MD"/>
        </w:rPr>
        <w:t>5</w:t>
      </w:r>
      <w:r w:rsidRPr="00301B0F">
        <w:rPr>
          <w:b/>
          <w:bCs/>
          <w:color w:val="000000" w:themeColor="text1"/>
          <w:lang w:val="en-GB" w:eastAsia="ro-MD"/>
        </w:rPr>
        <w:t>.</w:t>
      </w:r>
      <w:r w:rsidRPr="00301B0F">
        <w:rPr>
          <w:color w:val="000000" w:themeColor="text1"/>
          <w:lang w:val="en-GB" w:eastAsia="ro-MD"/>
        </w:rPr>
        <w:t xml:space="preserve"> </w:t>
      </w:r>
      <w:r w:rsidR="001F5888" w:rsidRPr="00301B0F">
        <w:rPr>
          <w:color w:val="000000" w:themeColor="text1"/>
          <w:lang w:val="en-GB" w:eastAsia="ro-MD"/>
        </w:rPr>
        <w:t xml:space="preserve">A bank’s internal risk-measurement model must include </w:t>
      </w:r>
      <w:proofErr w:type="gramStart"/>
      <w:r w:rsidR="001F5888" w:rsidRPr="00301B0F">
        <w:rPr>
          <w:color w:val="000000" w:themeColor="text1"/>
          <w:lang w:val="en-GB" w:eastAsia="ro-MD"/>
        </w:rPr>
        <w:t>a sufficient number of</w:t>
      </w:r>
      <w:proofErr w:type="gramEnd"/>
      <w:r w:rsidR="001F5888" w:rsidRPr="00301B0F">
        <w:rPr>
          <w:color w:val="000000" w:themeColor="text1"/>
          <w:lang w:val="en-GB" w:eastAsia="ro-MD"/>
        </w:rPr>
        <w:t xml:space="preserve"> risk factors to reflect all significant price risks</w:t>
      </w:r>
      <w:r w:rsidRPr="00301B0F">
        <w:rPr>
          <w:color w:val="000000" w:themeColor="text1"/>
          <w:lang w:val="en-GB" w:eastAsia="ro-MD"/>
        </w:rPr>
        <w:t>.</w:t>
      </w:r>
    </w:p>
    <w:p w14:paraId="25E9A27B" w14:textId="1D29138A" w:rsidR="00064BD9" w:rsidRPr="00301B0F" w:rsidRDefault="00064BD9" w:rsidP="00064BD9">
      <w:pPr>
        <w:shd w:val="clear" w:color="auto" w:fill="FFFFFF"/>
        <w:spacing w:line="312" w:lineRule="atLeast"/>
        <w:jc w:val="both"/>
        <w:rPr>
          <w:color w:val="000000" w:themeColor="text1"/>
          <w:lang w:val="en-GB" w:eastAsia="ro-MD"/>
        </w:rPr>
      </w:pPr>
      <w:r w:rsidRPr="00301B0F">
        <w:rPr>
          <w:b/>
          <w:bCs/>
          <w:color w:val="000000" w:themeColor="text1"/>
          <w:lang w:val="en-GB" w:eastAsia="ro-MD"/>
        </w:rPr>
        <w:t>72</w:t>
      </w:r>
      <w:r w:rsidRPr="00301B0F">
        <w:rPr>
          <w:b/>
          <w:bCs/>
          <w:color w:val="000000" w:themeColor="text1"/>
          <w:vertAlign w:val="superscript"/>
          <w:lang w:val="en-GB" w:eastAsia="ro-MD"/>
        </w:rPr>
        <w:t>6</w:t>
      </w:r>
      <w:r w:rsidRPr="00301B0F">
        <w:rPr>
          <w:b/>
          <w:bCs/>
          <w:color w:val="000000" w:themeColor="text1"/>
          <w:lang w:val="en-GB" w:eastAsia="ro-MD"/>
        </w:rPr>
        <w:t>.</w:t>
      </w:r>
      <w:r w:rsidRPr="00301B0F">
        <w:rPr>
          <w:color w:val="000000" w:themeColor="text1"/>
          <w:lang w:val="en-GB" w:eastAsia="ro-MD"/>
        </w:rPr>
        <w:t xml:space="preserve"> </w:t>
      </w:r>
      <w:r w:rsidR="001F5888" w:rsidRPr="00301B0F">
        <w:rPr>
          <w:color w:val="000000" w:themeColor="text1"/>
          <w:lang w:val="en-GB" w:eastAsia="ro-MD"/>
        </w:rPr>
        <w:t>The bank may use empirical correlations within and across risk categories, provided that its system for measuring correlations is robust and is applied correctly</w:t>
      </w:r>
      <w:r w:rsidRPr="00301B0F">
        <w:rPr>
          <w:color w:val="000000" w:themeColor="text1"/>
          <w:lang w:val="en-GB" w:eastAsia="ro-MD"/>
        </w:rPr>
        <w:t>.</w:t>
      </w:r>
    </w:p>
    <w:p w14:paraId="0F0B12CA" w14:textId="4A1AD541" w:rsidR="00064BD9" w:rsidRPr="00301B0F" w:rsidRDefault="00064BD9" w:rsidP="00064BD9">
      <w:pPr>
        <w:shd w:val="clear" w:color="auto" w:fill="FFFFFF"/>
        <w:jc w:val="both"/>
        <w:rPr>
          <w:color w:val="000000" w:themeColor="text1"/>
          <w:lang w:val="en-GB" w:eastAsia="ro-MD"/>
        </w:rPr>
      </w:pPr>
      <w:r w:rsidRPr="00301B0F">
        <w:rPr>
          <w:b/>
          <w:bCs/>
          <w:color w:val="000000" w:themeColor="text1"/>
          <w:lang w:val="en-GB" w:eastAsia="ro-MD"/>
        </w:rPr>
        <w:t>72</w:t>
      </w:r>
      <w:r w:rsidRPr="00301B0F">
        <w:rPr>
          <w:b/>
          <w:bCs/>
          <w:color w:val="000000" w:themeColor="text1"/>
          <w:vertAlign w:val="superscript"/>
          <w:lang w:val="en-GB" w:eastAsia="ro-MD"/>
        </w:rPr>
        <w:t>7</w:t>
      </w:r>
      <w:r w:rsidRPr="00301B0F">
        <w:rPr>
          <w:b/>
          <w:bCs/>
          <w:color w:val="000000" w:themeColor="text1"/>
          <w:lang w:val="en-GB" w:eastAsia="ro-MD"/>
        </w:rPr>
        <w:t>.</w:t>
      </w:r>
      <w:r w:rsidRPr="00301B0F">
        <w:rPr>
          <w:color w:val="000000" w:themeColor="text1"/>
          <w:lang w:val="en-GB" w:eastAsia="ro-MD"/>
        </w:rPr>
        <w:t xml:space="preserve"> </w:t>
      </w:r>
      <w:r w:rsidR="001F5888" w:rsidRPr="00301B0F">
        <w:rPr>
          <w:color w:val="000000" w:themeColor="text1"/>
          <w:lang w:val="en-GB" w:eastAsia="ro-MD"/>
        </w:rPr>
        <w:t>Banks that use the internal models approach calculate E* using the following formula</w:t>
      </w:r>
      <w:r w:rsidRPr="00301B0F">
        <w:rPr>
          <w:color w:val="000000" w:themeColor="text1"/>
          <w:lang w:val="en-GB" w:eastAsia="ro-MD"/>
        </w:rPr>
        <w:t>:</w:t>
      </w:r>
    </w:p>
    <w:p w14:paraId="36DC9B83" w14:textId="3C4DD5BF" w:rsidR="00064BD9" w:rsidRPr="00301B0F" w:rsidRDefault="00000000" w:rsidP="00064BD9">
      <w:pPr>
        <w:shd w:val="clear" w:color="auto" w:fill="FFFFFF"/>
        <w:spacing w:before="120" w:line="312" w:lineRule="atLeast"/>
        <w:jc w:val="both"/>
        <w:rPr>
          <w:i/>
          <w:color w:val="000000" w:themeColor="text1"/>
          <w:lang w:val="en-GB" w:eastAsia="ro-MD"/>
        </w:rPr>
      </w:pPr>
      <m:oMathPara>
        <m:oMath>
          <m:sSup>
            <m:sSupPr>
              <m:ctrlPr>
                <w:rPr>
                  <w:rFonts w:ascii="Cambria Math" w:hAnsi="Cambria Math"/>
                  <w:b/>
                  <w:bCs/>
                  <w:i/>
                  <w:color w:val="000000" w:themeColor="text1"/>
                  <w:lang w:val="en-GB" w:eastAsia="ro-MD"/>
                </w:rPr>
              </m:ctrlPr>
            </m:sSupPr>
            <m:e>
              <m:r>
                <m:rPr>
                  <m:sty m:val="bi"/>
                </m:rPr>
                <w:rPr>
                  <w:rFonts w:ascii="Cambria Math" w:hAnsi="Cambria Math"/>
                  <w:color w:val="000000" w:themeColor="text1"/>
                  <w:lang w:val="en-GB" w:eastAsia="ro-MD"/>
                </w:rPr>
                <m:t>E</m:t>
              </m:r>
            </m:e>
            <m:sup>
              <m:r>
                <m:rPr>
                  <m:sty m:val="bi"/>
                </m:rPr>
                <w:rPr>
                  <w:rFonts w:ascii="Cambria Math" w:hAnsi="Cambria Math"/>
                  <w:color w:val="000000" w:themeColor="text1"/>
                  <w:lang w:val="en-GB" w:eastAsia="ro-MD"/>
                </w:rPr>
                <m:t>*</m:t>
              </m:r>
            </m:sup>
          </m:sSup>
          <m:r>
            <w:rPr>
              <w:rFonts w:ascii="Cambria Math" w:hAnsi="Cambria Math"/>
              <w:color w:val="000000" w:themeColor="text1"/>
              <w:lang w:val="en-GB" w:eastAsia="ro-MD"/>
            </w:rPr>
            <m:t xml:space="preserve"> = max </m:t>
          </m:r>
          <m:d>
            <m:dPr>
              <m:begChr m:val="{"/>
              <m:endChr m:val="}"/>
              <m:ctrlPr>
                <w:rPr>
                  <w:rFonts w:ascii="Cambria Math" w:hAnsi="Cambria Math"/>
                  <w:i/>
                  <w:color w:val="000000" w:themeColor="text1"/>
                  <w:lang w:val="en-GB" w:eastAsia="ro-MD"/>
                </w:rPr>
              </m:ctrlPr>
            </m:dPr>
            <m:e>
              <m:r>
                <w:rPr>
                  <w:rFonts w:ascii="Cambria Math" w:hAnsi="Cambria Math"/>
                  <w:color w:val="000000" w:themeColor="text1"/>
                  <w:lang w:val="en-GB" w:eastAsia="ro-MD"/>
                </w:rPr>
                <m:t>0,</m:t>
              </m:r>
              <m:d>
                <m:dPr>
                  <m:ctrlPr>
                    <w:rPr>
                      <w:rFonts w:ascii="Cambria Math" w:hAnsi="Cambria Math"/>
                      <w:i/>
                      <w:color w:val="000000" w:themeColor="text1"/>
                      <w:lang w:val="en-GB" w:eastAsia="ro-MD"/>
                    </w:rPr>
                  </m:ctrlPr>
                </m:dPr>
                <m:e>
                  <m:nary>
                    <m:naryPr>
                      <m:chr m:val="∑"/>
                      <m:limLoc m:val="undOvr"/>
                      <m:supHide m:val="1"/>
                      <m:ctrlPr>
                        <w:rPr>
                          <w:rFonts w:ascii="Cambria Math" w:hAnsi="Cambria Math"/>
                          <w:i/>
                          <w:color w:val="000000" w:themeColor="text1"/>
                          <w:lang w:val="en-GB" w:eastAsia="ro-MD"/>
                        </w:rPr>
                      </m:ctrlPr>
                    </m:naryPr>
                    <m:sub>
                      <m:r>
                        <w:rPr>
                          <w:rFonts w:ascii="Cambria Math" w:hAnsi="Cambria Math"/>
                          <w:color w:val="000000" w:themeColor="text1"/>
                          <w:lang w:val="en-GB" w:eastAsia="ro-MD"/>
                        </w:rPr>
                        <m:t>i</m:t>
                      </m:r>
                    </m:sub>
                    <m:sup/>
                    <m:e>
                      <m:sSub>
                        <m:sSubPr>
                          <m:ctrlPr>
                            <w:rPr>
                              <w:rFonts w:ascii="Cambria Math" w:hAnsi="Cambria Math"/>
                              <w:i/>
                              <w:color w:val="000000" w:themeColor="text1"/>
                              <w:lang w:val="en-GB" w:eastAsia="ro-MD"/>
                            </w:rPr>
                          </m:ctrlPr>
                        </m:sSubPr>
                        <m:e>
                          <m:r>
                            <w:rPr>
                              <w:rFonts w:ascii="Cambria Math" w:hAnsi="Cambria Math"/>
                              <w:color w:val="000000" w:themeColor="text1"/>
                              <w:lang w:val="en-GB" w:eastAsia="ro-MD"/>
                            </w:rPr>
                            <m:t>E</m:t>
                          </m:r>
                        </m:e>
                        <m:sub>
                          <m:r>
                            <w:rPr>
                              <w:rFonts w:ascii="Cambria Math" w:hAnsi="Cambria Math"/>
                              <w:color w:val="000000" w:themeColor="text1"/>
                              <w:lang w:val="en-GB" w:eastAsia="ro-MD"/>
                            </w:rPr>
                            <m:t>i</m:t>
                          </m:r>
                        </m:sub>
                      </m:sSub>
                    </m:e>
                  </m:nary>
                  <m:r>
                    <w:rPr>
                      <w:rFonts w:ascii="Cambria Math" w:hAnsi="Cambria Math"/>
                      <w:color w:val="000000" w:themeColor="text1"/>
                      <w:lang w:val="en-GB" w:eastAsia="ro-MD"/>
                    </w:rPr>
                    <m:t>-</m:t>
                  </m:r>
                  <m:nary>
                    <m:naryPr>
                      <m:chr m:val="∑"/>
                      <m:limLoc m:val="undOvr"/>
                      <m:supHide m:val="1"/>
                      <m:ctrlPr>
                        <w:rPr>
                          <w:rFonts w:ascii="Cambria Math" w:hAnsi="Cambria Math"/>
                          <w:i/>
                          <w:color w:val="000000" w:themeColor="text1"/>
                          <w:lang w:val="en-GB" w:eastAsia="ro-MD"/>
                        </w:rPr>
                      </m:ctrlPr>
                    </m:naryPr>
                    <m:sub>
                      <m:r>
                        <w:rPr>
                          <w:rFonts w:ascii="Cambria Math" w:hAnsi="Cambria Math"/>
                          <w:color w:val="000000" w:themeColor="text1"/>
                          <w:lang w:val="en-GB" w:eastAsia="ro-MD"/>
                        </w:rPr>
                        <m:t>i</m:t>
                      </m:r>
                    </m:sub>
                    <m:sup/>
                    <m:e>
                      <m:sSub>
                        <m:sSubPr>
                          <m:ctrlPr>
                            <w:rPr>
                              <w:rFonts w:ascii="Cambria Math" w:hAnsi="Cambria Math"/>
                              <w:i/>
                              <w:color w:val="000000" w:themeColor="text1"/>
                              <w:lang w:val="en-GB" w:eastAsia="ro-MD"/>
                            </w:rPr>
                          </m:ctrlPr>
                        </m:sSubPr>
                        <m:e>
                          <m:r>
                            <w:rPr>
                              <w:rFonts w:ascii="Cambria Math" w:hAnsi="Cambria Math"/>
                              <w:color w:val="000000" w:themeColor="text1"/>
                              <w:lang w:val="en-GB" w:eastAsia="ro-MD"/>
                            </w:rPr>
                            <m:t>C</m:t>
                          </m:r>
                        </m:e>
                        <m:sub>
                          <m:r>
                            <w:rPr>
                              <w:rFonts w:ascii="Cambria Math" w:hAnsi="Cambria Math"/>
                              <w:color w:val="000000" w:themeColor="text1"/>
                              <w:lang w:val="en-GB" w:eastAsia="ro-MD"/>
                            </w:rPr>
                            <m:t>i</m:t>
                          </m:r>
                        </m:sub>
                      </m:sSub>
                    </m:e>
                  </m:nary>
                </m:e>
              </m:d>
              <m:r>
                <w:rPr>
                  <w:rFonts w:ascii="Cambria Math" w:hAnsi="Cambria Math"/>
                  <w:color w:val="000000" w:themeColor="text1"/>
                  <w:lang w:val="en-GB" w:eastAsia="ro-MD"/>
                </w:rPr>
                <m:t>+ potential change in value</m:t>
              </m:r>
            </m:e>
          </m:d>
          <m:r>
            <w:rPr>
              <w:rFonts w:ascii="Cambria Math" w:hAnsi="Cambria Math"/>
              <w:color w:val="000000" w:themeColor="text1"/>
              <w:lang w:val="en-GB" w:eastAsia="ro-MD"/>
            </w:rPr>
            <m:t xml:space="preserve"> </m:t>
          </m:r>
        </m:oMath>
      </m:oMathPara>
    </w:p>
    <w:p w14:paraId="4846B90C" w14:textId="3B8D2854" w:rsidR="00064BD9" w:rsidRPr="00301B0F" w:rsidRDefault="001F5888" w:rsidP="00064BD9">
      <w:pPr>
        <w:shd w:val="clear" w:color="auto" w:fill="FFFFFF"/>
        <w:spacing w:before="120" w:line="312" w:lineRule="atLeast"/>
        <w:jc w:val="both"/>
        <w:rPr>
          <w:color w:val="000000" w:themeColor="text1"/>
          <w:lang w:val="en-GB" w:eastAsia="ro-MD"/>
        </w:rPr>
      </w:pPr>
      <w:r w:rsidRPr="00301B0F">
        <w:rPr>
          <w:color w:val="000000" w:themeColor="text1"/>
          <w:lang w:val="en-GB" w:eastAsia="ro-MD"/>
        </w:rPr>
        <w:lastRenderedPageBreak/>
        <w:t>where</w:t>
      </w:r>
      <w:r w:rsidR="00064BD9" w:rsidRPr="00301B0F">
        <w:rPr>
          <w:color w:val="000000" w:themeColor="text1"/>
          <w:lang w:val="en-GB" w:eastAsia="ro-MD"/>
        </w:rPr>
        <w:t>:</w:t>
      </w:r>
    </w:p>
    <w:tbl>
      <w:tblPr>
        <w:tblW w:w="5047" w:type="pct"/>
        <w:tblCellMar>
          <w:left w:w="0" w:type="dxa"/>
          <w:right w:w="0" w:type="dxa"/>
        </w:tblCellMar>
        <w:tblLook w:val="04A0" w:firstRow="1" w:lastRow="0" w:firstColumn="1" w:lastColumn="0" w:noHBand="0" w:noVBand="1"/>
      </w:tblPr>
      <w:tblGrid>
        <w:gridCol w:w="284"/>
        <w:gridCol w:w="6"/>
        <w:gridCol w:w="9490"/>
      </w:tblGrid>
      <w:tr w:rsidR="00064BD9" w:rsidRPr="00301B0F" w14:paraId="708EA6E5" w14:textId="77777777" w:rsidTr="000742E5">
        <w:tc>
          <w:tcPr>
            <w:tcW w:w="145" w:type="pct"/>
            <w:hideMark/>
          </w:tcPr>
          <w:p w14:paraId="5C35CDA3" w14:textId="77777777" w:rsidR="00064BD9" w:rsidRPr="00301B0F" w:rsidRDefault="00064BD9" w:rsidP="003425C4">
            <w:pPr>
              <w:spacing w:before="120" w:line="312" w:lineRule="atLeast"/>
              <w:jc w:val="both"/>
              <w:rPr>
                <w:color w:val="000000" w:themeColor="text1"/>
                <w:lang w:val="en-GB" w:eastAsia="ro-MD"/>
              </w:rPr>
            </w:pPr>
            <w:r w:rsidRPr="00301B0F">
              <w:rPr>
                <w:color w:val="000000" w:themeColor="text1"/>
                <w:lang w:val="en-GB" w:eastAsia="ro-MD"/>
              </w:rPr>
              <w:t>E</w:t>
            </w:r>
            <w:r w:rsidRPr="00301B0F">
              <w:rPr>
                <w:color w:val="000000" w:themeColor="text1"/>
                <w:vertAlign w:val="subscript"/>
                <w:lang w:val="en-GB" w:eastAsia="ro-MD"/>
              </w:rPr>
              <w:t>i</w:t>
            </w:r>
          </w:p>
        </w:tc>
        <w:tc>
          <w:tcPr>
            <w:tcW w:w="0" w:type="auto"/>
            <w:hideMark/>
          </w:tcPr>
          <w:p w14:paraId="171EBC9C" w14:textId="77777777" w:rsidR="00064BD9" w:rsidRPr="00301B0F" w:rsidRDefault="00064BD9" w:rsidP="003425C4">
            <w:pPr>
              <w:spacing w:before="120" w:line="312" w:lineRule="atLeast"/>
              <w:jc w:val="both"/>
              <w:rPr>
                <w:color w:val="000000" w:themeColor="text1"/>
                <w:lang w:val="en-GB" w:eastAsia="ro-MD"/>
              </w:rPr>
            </w:pPr>
            <w:r w:rsidRPr="00301B0F">
              <w:rPr>
                <w:color w:val="000000" w:themeColor="text1"/>
                <w:lang w:val="en-GB" w:eastAsia="ro-MD"/>
              </w:rPr>
              <w:t xml:space="preserve"> </w:t>
            </w:r>
          </w:p>
        </w:tc>
        <w:tc>
          <w:tcPr>
            <w:tcW w:w="0" w:type="auto"/>
            <w:hideMark/>
          </w:tcPr>
          <w:p w14:paraId="113670B6" w14:textId="69FC0346" w:rsidR="00064BD9" w:rsidRPr="00301B0F" w:rsidRDefault="00064BD9" w:rsidP="003425C4">
            <w:pPr>
              <w:spacing w:before="120" w:line="312" w:lineRule="atLeast"/>
              <w:jc w:val="both"/>
              <w:rPr>
                <w:color w:val="000000" w:themeColor="text1"/>
                <w:lang w:val="en-GB" w:eastAsia="ro-MD"/>
              </w:rPr>
            </w:pPr>
            <w:r w:rsidRPr="00301B0F">
              <w:rPr>
                <w:color w:val="000000" w:themeColor="text1"/>
                <w:lang w:val="en-GB" w:eastAsia="ro-MD"/>
              </w:rPr>
              <w:t xml:space="preserve"> = </w:t>
            </w:r>
            <w:r w:rsidR="001F5888" w:rsidRPr="00301B0F">
              <w:rPr>
                <w:color w:val="000000" w:themeColor="text1"/>
                <w:lang w:val="en-GB" w:eastAsia="ro-MD"/>
              </w:rPr>
              <w:t>the exposure value for each separate exposure i under the agreement that would apply in the absence of the credit protection, where banks calculate the risk-weighted exposure amounts under the Standardised Approach or where they calculate risk-weighted exposure amounts and expected loss amounts under the IRB Approach</w:t>
            </w:r>
            <w:r w:rsidRPr="00301B0F">
              <w:rPr>
                <w:color w:val="000000" w:themeColor="text1"/>
                <w:lang w:val="en-GB" w:eastAsia="ro-MD"/>
              </w:rPr>
              <w:t>;</w:t>
            </w:r>
          </w:p>
        </w:tc>
      </w:tr>
    </w:tbl>
    <w:p w14:paraId="2BA5828C" w14:textId="77777777" w:rsidR="00064BD9" w:rsidRPr="00301B0F" w:rsidRDefault="00064BD9" w:rsidP="00064BD9">
      <w:pPr>
        <w:shd w:val="clear" w:color="auto" w:fill="FFFFFF"/>
        <w:jc w:val="both"/>
        <w:rPr>
          <w:vanish/>
          <w:color w:val="000000" w:themeColor="text1"/>
          <w:lang w:val="en-GB" w:eastAsia="ro-MD"/>
        </w:rPr>
      </w:pPr>
    </w:p>
    <w:tbl>
      <w:tblPr>
        <w:tblW w:w="5000" w:type="pct"/>
        <w:tblCellMar>
          <w:left w:w="0" w:type="dxa"/>
          <w:right w:w="0" w:type="dxa"/>
        </w:tblCellMar>
        <w:tblLook w:val="04A0" w:firstRow="1" w:lastRow="0" w:firstColumn="1" w:lastColumn="0" w:noHBand="0" w:noVBand="1"/>
      </w:tblPr>
      <w:tblGrid>
        <w:gridCol w:w="205"/>
        <w:gridCol w:w="6"/>
        <w:gridCol w:w="9478"/>
      </w:tblGrid>
      <w:tr w:rsidR="000B2CBE" w:rsidRPr="00301B0F" w14:paraId="0B81CE93" w14:textId="77777777" w:rsidTr="003425C4">
        <w:tc>
          <w:tcPr>
            <w:tcW w:w="0" w:type="auto"/>
            <w:hideMark/>
          </w:tcPr>
          <w:p w14:paraId="078E094F" w14:textId="77777777" w:rsidR="00064BD9" w:rsidRPr="00301B0F" w:rsidRDefault="00064BD9" w:rsidP="003425C4">
            <w:pPr>
              <w:spacing w:before="120" w:line="312" w:lineRule="atLeast"/>
              <w:jc w:val="both"/>
              <w:rPr>
                <w:color w:val="000000" w:themeColor="text1"/>
                <w:lang w:val="en-GB" w:eastAsia="ro-MD"/>
              </w:rPr>
            </w:pPr>
            <w:r w:rsidRPr="00301B0F">
              <w:rPr>
                <w:color w:val="000000" w:themeColor="text1"/>
                <w:lang w:val="en-GB" w:eastAsia="ro-MD"/>
              </w:rPr>
              <w:t>C</w:t>
            </w:r>
            <w:r w:rsidRPr="00301B0F">
              <w:rPr>
                <w:color w:val="000000" w:themeColor="text1"/>
                <w:vertAlign w:val="subscript"/>
                <w:lang w:val="en-GB" w:eastAsia="ro-MD"/>
              </w:rPr>
              <w:t>i</w:t>
            </w:r>
          </w:p>
        </w:tc>
        <w:tc>
          <w:tcPr>
            <w:tcW w:w="0" w:type="auto"/>
            <w:hideMark/>
          </w:tcPr>
          <w:p w14:paraId="6F07C402" w14:textId="77777777" w:rsidR="00064BD9" w:rsidRPr="00301B0F" w:rsidRDefault="00064BD9" w:rsidP="003425C4">
            <w:pPr>
              <w:spacing w:before="120" w:line="312" w:lineRule="atLeast"/>
              <w:jc w:val="both"/>
              <w:rPr>
                <w:color w:val="000000" w:themeColor="text1"/>
                <w:lang w:val="en-GB" w:eastAsia="ro-MD"/>
              </w:rPr>
            </w:pPr>
            <w:r w:rsidRPr="00301B0F">
              <w:rPr>
                <w:color w:val="000000" w:themeColor="text1"/>
                <w:lang w:val="en-GB" w:eastAsia="ro-MD"/>
              </w:rPr>
              <w:t xml:space="preserve"> </w:t>
            </w:r>
          </w:p>
        </w:tc>
        <w:tc>
          <w:tcPr>
            <w:tcW w:w="0" w:type="auto"/>
            <w:hideMark/>
          </w:tcPr>
          <w:p w14:paraId="17F7764B" w14:textId="45C7AD16" w:rsidR="00064BD9" w:rsidRPr="00301B0F" w:rsidRDefault="00064BD9" w:rsidP="003425C4">
            <w:pPr>
              <w:spacing w:before="120" w:line="312" w:lineRule="atLeast"/>
              <w:jc w:val="both"/>
              <w:rPr>
                <w:color w:val="000000" w:themeColor="text1"/>
                <w:lang w:val="en-GB" w:eastAsia="ro-MD"/>
              </w:rPr>
            </w:pPr>
            <w:r w:rsidRPr="00301B0F">
              <w:rPr>
                <w:color w:val="000000" w:themeColor="text1"/>
                <w:lang w:val="en-GB" w:eastAsia="ro-MD"/>
              </w:rPr>
              <w:t xml:space="preserve"> = </w:t>
            </w:r>
            <w:r w:rsidR="001F5888" w:rsidRPr="00301B0F">
              <w:rPr>
                <w:color w:val="000000" w:themeColor="text1"/>
                <w:lang w:val="en-GB" w:eastAsia="ro-MD"/>
              </w:rPr>
              <w:t>the value of the securities borrowed, purchased or received or the cash borrowed or received in respect of each such exposure i</w:t>
            </w:r>
            <w:r w:rsidRPr="00301B0F">
              <w:rPr>
                <w:color w:val="000000" w:themeColor="text1"/>
                <w:lang w:val="en-GB" w:eastAsia="ro-MD"/>
              </w:rPr>
              <w:t>.</w:t>
            </w:r>
          </w:p>
        </w:tc>
      </w:tr>
    </w:tbl>
    <w:p w14:paraId="0DDEA124" w14:textId="774F38CC" w:rsidR="00064BD9" w:rsidRPr="00301B0F" w:rsidRDefault="00064BD9" w:rsidP="00064BD9">
      <w:pPr>
        <w:shd w:val="clear" w:color="auto" w:fill="FFFFFF"/>
        <w:spacing w:line="312" w:lineRule="atLeast"/>
        <w:jc w:val="both"/>
        <w:rPr>
          <w:color w:val="000000" w:themeColor="text1"/>
          <w:lang w:val="en-GB" w:eastAsia="ro-MD"/>
        </w:rPr>
      </w:pPr>
      <w:r w:rsidRPr="00301B0F">
        <w:rPr>
          <w:b/>
          <w:bCs/>
          <w:color w:val="000000" w:themeColor="text1"/>
          <w:lang w:val="en-GB" w:eastAsia="ro-MD"/>
        </w:rPr>
        <w:t>72</w:t>
      </w:r>
      <w:r w:rsidRPr="00301B0F">
        <w:rPr>
          <w:b/>
          <w:bCs/>
          <w:color w:val="000000" w:themeColor="text1"/>
          <w:vertAlign w:val="superscript"/>
          <w:lang w:val="en-GB" w:eastAsia="ro-MD"/>
        </w:rPr>
        <w:t>8</w:t>
      </w:r>
      <w:r w:rsidRPr="00301B0F">
        <w:rPr>
          <w:b/>
          <w:bCs/>
          <w:color w:val="000000" w:themeColor="text1"/>
          <w:lang w:val="en-GB" w:eastAsia="ro-MD"/>
        </w:rPr>
        <w:t xml:space="preserve">. </w:t>
      </w:r>
      <w:r w:rsidR="001F5888" w:rsidRPr="00301B0F">
        <w:rPr>
          <w:color w:val="000000" w:themeColor="text1"/>
          <w:lang w:val="en-GB" w:eastAsia="ro-MD"/>
        </w:rPr>
        <w:t>When calculating risk-weighted exposure amounts using internal models, banks shall use the previous business day's model output</w:t>
      </w:r>
      <w:r w:rsidRPr="00301B0F">
        <w:rPr>
          <w:color w:val="000000" w:themeColor="text1"/>
          <w:lang w:val="en-GB" w:eastAsia="ro-MD"/>
        </w:rPr>
        <w:t>.</w:t>
      </w:r>
    </w:p>
    <w:p w14:paraId="30D89D59" w14:textId="17507021" w:rsidR="00064BD9" w:rsidRPr="00301B0F" w:rsidRDefault="00064BD9" w:rsidP="00064BD9">
      <w:pPr>
        <w:shd w:val="clear" w:color="auto" w:fill="FFFFFF"/>
        <w:jc w:val="both"/>
        <w:rPr>
          <w:color w:val="000000" w:themeColor="text1"/>
          <w:lang w:val="en-GB" w:eastAsia="ro-MD"/>
        </w:rPr>
      </w:pPr>
      <w:r w:rsidRPr="00301B0F">
        <w:rPr>
          <w:b/>
          <w:bCs/>
          <w:color w:val="000000" w:themeColor="text1"/>
          <w:lang w:val="en-GB" w:eastAsia="ro-MD"/>
        </w:rPr>
        <w:t>72</w:t>
      </w:r>
      <w:r w:rsidRPr="00301B0F">
        <w:rPr>
          <w:b/>
          <w:bCs/>
          <w:color w:val="000000" w:themeColor="text1"/>
          <w:vertAlign w:val="superscript"/>
          <w:lang w:val="en-GB" w:eastAsia="ro-MD"/>
        </w:rPr>
        <w:t>9</w:t>
      </w:r>
      <w:r w:rsidRPr="00301B0F">
        <w:rPr>
          <w:b/>
          <w:bCs/>
          <w:color w:val="000000" w:themeColor="text1"/>
          <w:lang w:val="en-GB" w:eastAsia="ro-MD"/>
        </w:rPr>
        <w:t xml:space="preserve">. </w:t>
      </w:r>
      <w:r w:rsidR="001F5888" w:rsidRPr="00301B0F">
        <w:rPr>
          <w:color w:val="000000" w:themeColor="text1"/>
          <w:lang w:val="en-GB" w:eastAsia="ro-MD"/>
        </w:rPr>
        <w:t>The calculation of the potential change in value referred to in paragraph 72</w:t>
      </w:r>
      <w:r w:rsidR="001F5888" w:rsidRPr="00301B0F">
        <w:rPr>
          <w:color w:val="000000" w:themeColor="text1"/>
          <w:vertAlign w:val="superscript"/>
          <w:lang w:val="en-GB" w:eastAsia="ro-MD"/>
        </w:rPr>
        <w:t>7</w:t>
      </w:r>
      <w:r w:rsidR="001F5888" w:rsidRPr="00301B0F">
        <w:rPr>
          <w:color w:val="000000" w:themeColor="text1"/>
          <w:lang w:val="en-GB" w:eastAsia="ro-MD"/>
        </w:rPr>
        <w:t xml:space="preserve"> shall be subject to all the following standards</w:t>
      </w:r>
      <w:r w:rsidRPr="00301B0F">
        <w:rPr>
          <w:color w:val="000000" w:themeColor="text1"/>
          <w:lang w:val="en-GB" w:eastAsia="ro-MD"/>
        </w:rPr>
        <w:t>:</w:t>
      </w:r>
    </w:p>
    <w:p w14:paraId="03901263"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1) it shall be carried out at least daily;</w:t>
      </w:r>
    </w:p>
    <w:p w14:paraId="491E1B62"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2) it shall be based on a 99th percentile, one-tailed confidence interval;</w:t>
      </w:r>
    </w:p>
    <w:p w14:paraId="230D5A04"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3) it shall be based on a 5-day equivalent liquidation period, except in the case of transactions other than securities repurchase transactions or securities lending or borrowing transactions where a 10-day equivalent liquidation period shall be used;</w:t>
      </w:r>
    </w:p>
    <w:p w14:paraId="52431602" w14:textId="77777777" w:rsidR="001F5888"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4) it shall be based on an effective historical observation period of at least one year except where a shorter observation period is justified by a significant upsurge in price volatility;</w:t>
      </w:r>
    </w:p>
    <w:p w14:paraId="4379ABF3" w14:textId="72B01A4C" w:rsidR="00064BD9" w:rsidRPr="00301B0F" w:rsidRDefault="001F5888" w:rsidP="001F5888">
      <w:pPr>
        <w:shd w:val="clear" w:color="auto" w:fill="FFFFFF"/>
        <w:ind w:firstLine="567"/>
        <w:jc w:val="both"/>
        <w:rPr>
          <w:color w:val="000000" w:themeColor="text1"/>
          <w:lang w:val="en-GB" w:eastAsia="ro-MD"/>
        </w:rPr>
      </w:pPr>
      <w:r w:rsidRPr="00301B0F">
        <w:rPr>
          <w:color w:val="000000" w:themeColor="text1"/>
          <w:lang w:val="en-GB" w:eastAsia="ro-MD"/>
        </w:rPr>
        <w:t>5) the data set used in the calculation shall be updated every three months</w:t>
      </w:r>
      <w:r w:rsidR="00064BD9" w:rsidRPr="00301B0F">
        <w:rPr>
          <w:color w:val="000000" w:themeColor="text1"/>
          <w:lang w:val="en-GB" w:eastAsia="ro-MD"/>
        </w:rPr>
        <w:t>.</w:t>
      </w:r>
    </w:p>
    <w:p w14:paraId="2DC65C73" w14:textId="5F0DDF90" w:rsidR="00064BD9" w:rsidRPr="00301B0F" w:rsidRDefault="00064BD9" w:rsidP="00064BD9">
      <w:pPr>
        <w:shd w:val="clear" w:color="auto" w:fill="FFFFFF"/>
        <w:spacing w:line="312" w:lineRule="atLeast"/>
        <w:jc w:val="both"/>
        <w:rPr>
          <w:color w:val="000000" w:themeColor="text1"/>
          <w:sz w:val="18"/>
          <w:szCs w:val="18"/>
          <w:lang w:val="en-GB" w:eastAsia="ro-MD"/>
        </w:rPr>
      </w:pPr>
      <w:r w:rsidRPr="00301B0F">
        <w:rPr>
          <w:b/>
          <w:bCs/>
          <w:color w:val="000000" w:themeColor="text1"/>
          <w:lang w:val="en-GB" w:eastAsia="ro-MD"/>
        </w:rPr>
        <w:t>72</w:t>
      </w:r>
      <w:r w:rsidRPr="00301B0F">
        <w:rPr>
          <w:b/>
          <w:bCs/>
          <w:color w:val="000000" w:themeColor="text1"/>
          <w:vertAlign w:val="superscript"/>
          <w:lang w:val="en-GB" w:eastAsia="ro-MD"/>
        </w:rPr>
        <w:t>10</w:t>
      </w:r>
      <w:r w:rsidRPr="00301B0F">
        <w:rPr>
          <w:b/>
          <w:bCs/>
          <w:color w:val="000000" w:themeColor="text1"/>
          <w:lang w:val="en-GB" w:eastAsia="ro-MD"/>
        </w:rPr>
        <w:t xml:space="preserve">. </w:t>
      </w:r>
      <w:r w:rsidR="001F5888" w:rsidRPr="00301B0F">
        <w:rPr>
          <w:color w:val="000000" w:themeColor="text1"/>
          <w:lang w:val="en-GB" w:eastAsia="ro-MD"/>
        </w:rPr>
        <w:t>If the bank has a repurchase agreement, a securities or commodities lending or borrowing transaction, or a margin lending transaction, or any other similar transaction or netting set that meets the criteria regarding the exposure value for netting sets subject to a margin agreement as set forth in Regulation No 220/2025, the minimum holding period must be aligned with the margin risk period that would apply in accordance with that regulation, in conjunction with the provisions regarding margin replenishment at N-day intervals</w:t>
      </w:r>
      <w:r w:rsidRPr="00301B0F">
        <w:rPr>
          <w:color w:val="000000" w:themeColor="text1"/>
          <w:lang w:val="en-GB" w:eastAsia="ro-MD"/>
        </w:rPr>
        <w:t>.</w:t>
      </w:r>
    </w:p>
    <w:p w14:paraId="3C886E8F" w14:textId="2689D842" w:rsidR="007B7B46" w:rsidRPr="00301B0F" w:rsidRDefault="00064BD9" w:rsidP="00064BD9">
      <w:pPr>
        <w:shd w:val="clear" w:color="auto" w:fill="FFFFFF"/>
        <w:jc w:val="both"/>
        <w:rPr>
          <w:color w:val="000000" w:themeColor="text1"/>
          <w:lang w:val="en-GB"/>
        </w:rPr>
      </w:pPr>
      <w:r w:rsidRPr="00301B0F">
        <w:rPr>
          <w:b/>
          <w:bCs/>
          <w:color w:val="000000" w:themeColor="text1"/>
          <w:lang w:val="en-GB" w:eastAsia="ro-MD"/>
        </w:rPr>
        <w:t>72</w:t>
      </w:r>
      <w:r w:rsidRPr="00301B0F">
        <w:rPr>
          <w:b/>
          <w:bCs/>
          <w:color w:val="000000" w:themeColor="text1"/>
          <w:vertAlign w:val="superscript"/>
          <w:lang w:val="en-GB" w:eastAsia="ro-MD"/>
        </w:rPr>
        <w:t>1</w:t>
      </w:r>
      <w:r w:rsidR="00BD392A" w:rsidRPr="00301B0F">
        <w:rPr>
          <w:b/>
          <w:bCs/>
          <w:color w:val="000000" w:themeColor="text1"/>
          <w:vertAlign w:val="superscript"/>
          <w:lang w:val="en-GB" w:eastAsia="ro-MD"/>
        </w:rPr>
        <w:t>1</w:t>
      </w:r>
      <w:r w:rsidRPr="00301B0F">
        <w:rPr>
          <w:b/>
          <w:bCs/>
          <w:color w:val="000000" w:themeColor="text1"/>
          <w:lang w:val="en-GB" w:eastAsia="ro-MD"/>
        </w:rPr>
        <w:t xml:space="preserve">. </w:t>
      </w:r>
      <w:r w:rsidR="001F5888" w:rsidRPr="00301B0F">
        <w:rPr>
          <w:color w:val="000000" w:themeColor="text1"/>
          <w:lang w:val="en-GB" w:eastAsia="ro-MD"/>
        </w:rPr>
        <w:t>To obtain the approval referred to in paragraph 72</w:t>
      </w:r>
      <w:r w:rsidR="001F5888" w:rsidRPr="00301B0F">
        <w:rPr>
          <w:color w:val="000000" w:themeColor="text1"/>
          <w:vertAlign w:val="superscript"/>
          <w:lang w:val="en-GB" w:eastAsia="ro-MD"/>
        </w:rPr>
        <w:t>4</w:t>
      </w:r>
      <w:r w:rsidR="001F5888" w:rsidRPr="00301B0F">
        <w:rPr>
          <w:color w:val="000000" w:themeColor="text1"/>
          <w:lang w:val="en-GB" w:eastAsia="ro-MD"/>
        </w:rPr>
        <w:t xml:space="preserve"> the bank shall submit a written request to the National Bank of Moldova, attaching the relevant information/documentation demonstrating compliance with the conditions set forth in that paragraph</w:t>
      </w:r>
      <w:r w:rsidRPr="00301B0F">
        <w:rPr>
          <w:color w:val="000000" w:themeColor="text1"/>
          <w:lang w:val="en-GB" w:eastAsia="ro-MD"/>
        </w:rPr>
        <w:t>.</w:t>
      </w:r>
      <w:r w:rsidR="007B7B46" w:rsidRPr="00301B0F">
        <w:rPr>
          <w:color w:val="000000" w:themeColor="text1"/>
          <w:lang w:val="en-GB"/>
        </w:rPr>
        <w:t>”.</w:t>
      </w:r>
    </w:p>
    <w:p w14:paraId="71F3D0C7" w14:textId="4C753962" w:rsidR="00F7502D" w:rsidRPr="00301B0F" w:rsidRDefault="001F5888" w:rsidP="00423178">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 73 is supplemented with the following text: “Banks may use the simple method for financial guarantees only if they calculate the risk-weighted values of exposures in accordance with the standardised approach</w:t>
      </w:r>
      <w:r w:rsidR="007A010E" w:rsidRPr="00301B0F">
        <w:rPr>
          <w:color w:val="000000" w:themeColor="text1"/>
          <w:lang w:val="en-GB" w:eastAsia="ro-MD"/>
        </w:rPr>
        <w:t>.”.</w:t>
      </w:r>
    </w:p>
    <w:p w14:paraId="403D0A1C" w14:textId="02EA5143" w:rsidR="00423178" w:rsidRPr="00301B0F" w:rsidRDefault="001F5888" w:rsidP="00423178">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eastAsia="ro-MD"/>
        </w:rPr>
        <w:t>Paragraph 74 shall read as follows</w:t>
      </w:r>
      <w:r w:rsidR="001B4B40" w:rsidRPr="00301B0F">
        <w:rPr>
          <w:color w:val="000000" w:themeColor="text1"/>
          <w:lang w:val="en-GB" w:eastAsia="ro-MD"/>
        </w:rPr>
        <w:t>:</w:t>
      </w:r>
    </w:p>
    <w:p w14:paraId="4FB17828" w14:textId="7E989F8E" w:rsidR="001B4B40" w:rsidRPr="00301B0F" w:rsidRDefault="001F5888" w:rsidP="00C63E10">
      <w:pPr>
        <w:tabs>
          <w:tab w:val="left" w:pos="567"/>
        </w:tabs>
        <w:jc w:val="both"/>
        <w:rPr>
          <w:color w:val="000000" w:themeColor="text1"/>
          <w:lang w:val="en-GB"/>
        </w:rPr>
      </w:pPr>
      <w:r w:rsidRPr="00301B0F">
        <w:rPr>
          <w:color w:val="000000" w:themeColor="text1"/>
          <w:lang w:val="en-GB"/>
        </w:rPr>
        <w:t>“</w:t>
      </w:r>
      <w:r w:rsidRPr="00301B0F">
        <w:rPr>
          <w:b/>
          <w:bCs/>
          <w:color w:val="000000" w:themeColor="text1"/>
          <w:lang w:val="en-GB" w:eastAsia="ro-MD"/>
        </w:rPr>
        <w:t>74.</w:t>
      </w:r>
      <w:r w:rsidRPr="00301B0F">
        <w:rPr>
          <w:color w:val="000000" w:themeColor="text1"/>
          <w:lang w:val="en-GB" w:eastAsia="ro-MD"/>
        </w:rPr>
        <w:t xml:space="preserve"> Banks must not use either the simple financial collateral method or the extended financial collateral method except for the purposes of implementing the IRB approach for various exposure classes and operational units and of meeting the conditions for permanent partial use, in accordance with the regulatory acts of the National Bank of Moldova pertaining to the internal ratings</w:t>
      </w:r>
      <w:r w:rsidR="007A1F62">
        <w:rPr>
          <w:color w:val="000000" w:themeColor="text1"/>
          <w:lang w:val="en-GB" w:eastAsia="ro-MD"/>
        </w:rPr>
        <w:t xml:space="preserve"> </w:t>
      </w:r>
      <w:r w:rsidRPr="00301B0F">
        <w:rPr>
          <w:color w:val="000000" w:themeColor="text1"/>
          <w:lang w:val="en-GB" w:eastAsia="ro-MD"/>
        </w:rPr>
        <w:t>based approach. Banks must not use this exception selectively to reduce their capital requirements or to engage in regulatory arbitrage</w:t>
      </w:r>
      <w:r w:rsidR="00C63E10" w:rsidRPr="00301B0F">
        <w:rPr>
          <w:color w:val="000000" w:themeColor="text1"/>
          <w:lang w:val="en-GB" w:eastAsia="ro-MD"/>
        </w:rPr>
        <w:t>.”.</w:t>
      </w:r>
    </w:p>
    <w:p w14:paraId="6D2A125B" w14:textId="75D038EA" w:rsidR="00BC51B5" w:rsidRPr="00301B0F" w:rsidRDefault="001F5888"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 80, after the words “exposure values,” the following text is added: “, determined pursuant to Regulation No 220/2025,”, and the words “derivative instruments” shall be supplemented with the following text: “listed in Annex 1 to Regulation No 114/2018 and</w:t>
      </w:r>
      <w:r w:rsidR="00C63E10" w:rsidRPr="00301B0F">
        <w:rPr>
          <w:color w:val="000000" w:themeColor="text1"/>
          <w:lang w:val="en-GB"/>
        </w:rPr>
        <w:t>”.</w:t>
      </w:r>
    </w:p>
    <w:p w14:paraId="5920CEA7" w14:textId="77777777" w:rsidR="001F5888" w:rsidRPr="00301B0F" w:rsidRDefault="001F5888" w:rsidP="001F5888">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 83 is supplemented with sub-paragraph 4), which reads as follows:</w:t>
      </w:r>
    </w:p>
    <w:p w14:paraId="17339BFE" w14:textId="5AA4CB7C" w:rsidR="00C63E10" w:rsidRPr="00301B0F" w:rsidRDefault="001F5888" w:rsidP="001F5888">
      <w:pPr>
        <w:tabs>
          <w:tab w:val="left" w:pos="567"/>
        </w:tabs>
        <w:jc w:val="both"/>
        <w:rPr>
          <w:color w:val="000000" w:themeColor="text1"/>
          <w:lang w:val="en-GB"/>
        </w:rPr>
      </w:pPr>
      <w:r w:rsidRPr="00301B0F">
        <w:rPr>
          <w:color w:val="000000" w:themeColor="text1"/>
          <w:lang w:val="en-GB"/>
        </w:rPr>
        <w:lastRenderedPageBreak/>
        <w:t>“</w:t>
      </w:r>
      <w:r w:rsidRPr="00301B0F">
        <w:rPr>
          <w:color w:val="000000" w:themeColor="text1"/>
          <w:lang w:val="en-GB" w:eastAsia="ro-MD"/>
        </w:rPr>
        <w:t>4) debt securities issued by regional governments or local authorities, provided that exposures to them are treated as exposures to the central government in whose jurisdiction they are established, in accordance with Regulation No 111/2018</w:t>
      </w:r>
      <w:r w:rsidR="00C63E10" w:rsidRPr="00301B0F">
        <w:rPr>
          <w:color w:val="000000" w:themeColor="text1"/>
          <w:lang w:val="en-GB" w:eastAsia="ro-MD"/>
        </w:rPr>
        <w:t>.”.</w:t>
      </w:r>
    </w:p>
    <w:p w14:paraId="7F9506CB" w14:textId="12BAC6F4" w:rsidR="00C63E10" w:rsidRPr="00301B0F" w:rsidRDefault="00C71CDB"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 86, after the words “netting agreements,” the following text is added: “recognised under Regulation No 220/2025</w:t>
      </w:r>
      <w:r w:rsidR="003B441E" w:rsidRPr="00301B0F">
        <w:rPr>
          <w:color w:val="000000" w:themeColor="text1"/>
          <w:lang w:val="en-GB" w:eastAsia="ro-MD"/>
        </w:rPr>
        <w:t>,</w:t>
      </w:r>
      <w:r w:rsidR="00282939" w:rsidRPr="00301B0F">
        <w:rPr>
          <w:color w:val="000000" w:themeColor="text1"/>
          <w:lang w:val="en-GB" w:eastAsia="ro-MD"/>
        </w:rPr>
        <w:t>”.</w:t>
      </w:r>
    </w:p>
    <w:p w14:paraId="6744B096" w14:textId="0CC08351" w:rsidR="00C63E10" w:rsidRPr="00301B0F" w:rsidRDefault="00C71CDB"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 89, the text “Regulation No 111/2018” is supplemented with the text “or the normative act of the National Bank of Moldova regarding the treatment of credit risk under the IRB approach, as applicable</w:t>
      </w:r>
      <w:r w:rsidR="006551C5" w:rsidRPr="00301B0F">
        <w:rPr>
          <w:color w:val="000000" w:themeColor="text1"/>
          <w:lang w:val="en-GB" w:eastAsia="ro-MD"/>
        </w:rPr>
        <w:t>”.</w:t>
      </w:r>
    </w:p>
    <w:p w14:paraId="5028009B" w14:textId="0D1FF163" w:rsidR="006551C5" w:rsidRPr="00301B0F" w:rsidRDefault="00C71CDB"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 90, the text “Notwithstanding Article 89,” shall be deleted, and after the word “banks,” the following text shall be added: “that use the internal model method for the treatment of counterparty credit risk</w:t>
      </w:r>
      <w:r w:rsidR="00C74A9C" w:rsidRPr="00301B0F">
        <w:rPr>
          <w:color w:val="000000" w:themeColor="text1"/>
          <w:lang w:val="en-GB" w:eastAsia="ro-MD"/>
        </w:rPr>
        <w:t>,”.</w:t>
      </w:r>
    </w:p>
    <w:p w14:paraId="01A897F1" w14:textId="6C83C400" w:rsidR="006551C5" w:rsidRPr="00301B0F" w:rsidRDefault="00C71CDB"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 91 shall read as follows</w:t>
      </w:r>
      <w:r w:rsidR="00C74A9C" w:rsidRPr="00301B0F">
        <w:rPr>
          <w:color w:val="000000" w:themeColor="text1"/>
          <w:lang w:val="en-GB"/>
        </w:rPr>
        <w:t>:</w:t>
      </w:r>
    </w:p>
    <w:p w14:paraId="7060865A" w14:textId="40EDA657" w:rsidR="00C74A9C" w:rsidRPr="00301B0F" w:rsidRDefault="00C71CDB" w:rsidP="00C74A9C">
      <w:pPr>
        <w:jc w:val="both"/>
        <w:rPr>
          <w:color w:val="000000" w:themeColor="text1"/>
          <w:lang w:val="en-GB" w:eastAsia="ro-MD"/>
        </w:rPr>
      </w:pPr>
      <w:r w:rsidRPr="00301B0F">
        <w:rPr>
          <w:color w:val="000000" w:themeColor="text1"/>
          <w:lang w:val="en-GB"/>
        </w:rPr>
        <w:t>“</w:t>
      </w:r>
      <w:r w:rsidRPr="00301B0F">
        <w:rPr>
          <w:b/>
          <w:bCs/>
          <w:color w:val="000000" w:themeColor="text1"/>
          <w:lang w:val="en-GB" w:eastAsia="ro-MD"/>
        </w:rPr>
        <w:t>91.</w:t>
      </w:r>
      <w:r w:rsidRPr="00301B0F">
        <w:rPr>
          <w:color w:val="000000" w:themeColor="text1"/>
          <w:lang w:val="en-GB" w:eastAsia="ro-MD"/>
        </w:rPr>
        <w:t xml:space="preserve"> To calculate the E value referred to in paragraph 90, the following shall apply</w:t>
      </w:r>
      <w:r w:rsidR="00C74A9C" w:rsidRPr="00301B0F">
        <w:rPr>
          <w:color w:val="000000" w:themeColor="text1"/>
          <w:lang w:val="en-GB" w:eastAsia="ro-MD"/>
        </w:rPr>
        <w:t>:</w:t>
      </w:r>
    </w:p>
    <w:p w14:paraId="4E3C9B05" w14:textId="4A0B9F1B" w:rsidR="00C71CDB" w:rsidRPr="00301B0F" w:rsidRDefault="00C71CDB" w:rsidP="00C71CDB">
      <w:pPr>
        <w:ind w:firstLine="567"/>
        <w:jc w:val="both"/>
        <w:rPr>
          <w:color w:val="000000" w:themeColor="text1"/>
          <w:lang w:val="en-GB" w:eastAsia="ro-MD"/>
        </w:rPr>
      </w:pPr>
      <w:r w:rsidRPr="00301B0F">
        <w:rPr>
          <w:color w:val="000000" w:themeColor="text1"/>
          <w:lang w:val="en-GB" w:eastAsia="ro-MD"/>
        </w:rPr>
        <w:t xml:space="preserve">1) </w:t>
      </w:r>
      <w:r w:rsidR="00093E9C" w:rsidRPr="00301B0F">
        <w:rPr>
          <w:color w:val="000000" w:themeColor="text1"/>
          <w:lang w:val="en-GB" w:eastAsia="ro-MD"/>
        </w:rPr>
        <w:t xml:space="preserve">for </w:t>
      </w:r>
      <w:r w:rsidRPr="00301B0F">
        <w:rPr>
          <w:color w:val="000000" w:themeColor="text1"/>
          <w:lang w:val="en-GB" w:eastAsia="ro-MD"/>
        </w:rPr>
        <w:t xml:space="preserve">banks that calculate the risk-weighted values of exposures under the standardised approach, the exposure value of an off-balance-sheet item specified in Regulation No 111/2018 must be 100% of the value of that item, and not the exposure value specified in the </w:t>
      </w:r>
      <w:proofErr w:type="gramStart"/>
      <w:r w:rsidRPr="00301B0F">
        <w:rPr>
          <w:color w:val="000000" w:themeColor="text1"/>
          <w:lang w:val="en-GB" w:eastAsia="ro-MD"/>
        </w:rPr>
        <w:t>aforementioned normative</w:t>
      </w:r>
      <w:proofErr w:type="gramEnd"/>
      <w:r w:rsidRPr="00301B0F">
        <w:rPr>
          <w:color w:val="000000" w:themeColor="text1"/>
          <w:lang w:val="en-GB" w:eastAsia="ro-MD"/>
        </w:rPr>
        <w:t xml:space="preserve"> act;</w:t>
      </w:r>
    </w:p>
    <w:p w14:paraId="7919C7C7" w14:textId="213336D8" w:rsidR="00C74A9C" w:rsidRPr="00301B0F" w:rsidRDefault="00C71CDB" w:rsidP="00C71CDB">
      <w:pPr>
        <w:tabs>
          <w:tab w:val="left" w:pos="567"/>
        </w:tabs>
        <w:ind w:firstLine="567"/>
        <w:jc w:val="both"/>
        <w:rPr>
          <w:color w:val="000000" w:themeColor="text1"/>
          <w:lang w:val="en-GB"/>
        </w:rPr>
      </w:pPr>
      <w:r w:rsidRPr="00301B0F">
        <w:rPr>
          <w:color w:val="000000" w:themeColor="text1"/>
          <w:lang w:val="en-GB" w:eastAsia="ro-MD"/>
        </w:rPr>
        <w:t xml:space="preserve">2) </w:t>
      </w:r>
      <w:r w:rsidR="00093E9C" w:rsidRPr="00301B0F">
        <w:rPr>
          <w:color w:val="000000" w:themeColor="text1"/>
          <w:lang w:val="en-GB" w:eastAsia="ro-MD"/>
        </w:rPr>
        <w:t xml:space="preserve">for </w:t>
      </w:r>
      <w:r w:rsidRPr="00301B0F">
        <w:rPr>
          <w:color w:val="000000" w:themeColor="text1"/>
          <w:lang w:val="en-GB" w:eastAsia="ro-MD"/>
        </w:rPr>
        <w:t>off-balance-sheet items other than derivative financial instruments treated under the IRB approach, banks calculate their exposure values using a credit conversion factor (CCF) of 100% instead of the CCF based on the standardised approach or the CCF based on the IRB approach</w:t>
      </w:r>
      <w:r w:rsidR="00C74A9C" w:rsidRPr="00301B0F">
        <w:rPr>
          <w:color w:val="000000" w:themeColor="text1"/>
          <w:lang w:val="en-GB" w:eastAsia="ro-MD"/>
        </w:rPr>
        <w:t>.”.</w:t>
      </w:r>
    </w:p>
    <w:p w14:paraId="6DA15149" w14:textId="646987B6" w:rsidR="00C74A9C" w:rsidRPr="00301B0F" w:rsidRDefault="00C71CDB"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 92</w:t>
      </w:r>
      <w:r w:rsidRPr="00301B0F">
        <w:rPr>
          <w:color w:val="000000" w:themeColor="text1"/>
          <w:vertAlign w:val="superscript"/>
          <w:lang w:val="en-GB"/>
        </w:rPr>
        <w:t>1</w:t>
      </w:r>
      <w:r w:rsidRPr="00301B0F">
        <w:rPr>
          <w:color w:val="000000" w:themeColor="text1"/>
          <w:lang w:val="en-GB"/>
        </w:rPr>
        <w:t xml:space="preserve"> shall be added with the following text</w:t>
      </w:r>
      <w:r w:rsidR="0091180D" w:rsidRPr="00301B0F">
        <w:rPr>
          <w:color w:val="000000" w:themeColor="text1"/>
          <w:lang w:val="en-GB"/>
        </w:rPr>
        <w:t>:</w:t>
      </w:r>
    </w:p>
    <w:p w14:paraId="16A04623" w14:textId="69E3367F" w:rsidR="0091180D" w:rsidRPr="00301B0F" w:rsidRDefault="00C71CDB" w:rsidP="00483623">
      <w:pPr>
        <w:tabs>
          <w:tab w:val="left" w:pos="567"/>
        </w:tabs>
        <w:jc w:val="both"/>
        <w:rPr>
          <w:color w:val="000000" w:themeColor="text1"/>
          <w:lang w:val="en-GB"/>
        </w:rPr>
      </w:pPr>
      <w:r w:rsidRPr="00301B0F">
        <w:rPr>
          <w:color w:val="000000" w:themeColor="text1"/>
          <w:lang w:val="en-GB"/>
        </w:rPr>
        <w:t>“</w:t>
      </w:r>
      <w:r w:rsidRPr="00301B0F">
        <w:rPr>
          <w:b/>
          <w:bCs/>
          <w:color w:val="000000" w:themeColor="text1"/>
          <w:lang w:val="en-GB" w:eastAsia="ro-MD"/>
        </w:rPr>
        <w:t>92</w:t>
      </w:r>
      <w:r w:rsidRPr="00301B0F">
        <w:rPr>
          <w:b/>
          <w:bCs/>
          <w:color w:val="000000" w:themeColor="text1"/>
          <w:vertAlign w:val="superscript"/>
          <w:lang w:val="en-GB" w:eastAsia="ro-MD"/>
        </w:rPr>
        <w:t>1</w:t>
      </w:r>
      <w:r w:rsidRPr="00301B0F">
        <w:rPr>
          <w:b/>
          <w:bCs/>
          <w:color w:val="000000" w:themeColor="text1"/>
          <w:lang w:val="en-GB" w:eastAsia="ro-MD"/>
        </w:rPr>
        <w:t>.</w:t>
      </w:r>
      <w:r w:rsidRPr="00301B0F">
        <w:rPr>
          <w:color w:val="000000" w:themeColor="text1"/>
          <w:lang w:val="en-GB" w:eastAsia="ro-MD"/>
        </w:rPr>
        <w:t xml:space="preserve"> In the case of </w:t>
      </w:r>
      <w:proofErr w:type="gramStart"/>
      <w:r w:rsidRPr="00301B0F">
        <w:rPr>
          <w:color w:val="000000" w:themeColor="text1"/>
          <w:lang w:val="en-GB" w:eastAsia="ro-MD"/>
        </w:rPr>
        <w:t>over-the-counter</w:t>
      </w:r>
      <w:proofErr w:type="gramEnd"/>
      <w:r w:rsidRPr="00301B0F">
        <w:rPr>
          <w:color w:val="000000" w:themeColor="text1"/>
          <w:lang w:val="en-GB" w:eastAsia="ro-MD"/>
        </w:rPr>
        <w:t xml:space="preserve"> (OTC) derivative transactions, banks that use the standardi</w:t>
      </w:r>
      <w:r w:rsidR="00441768">
        <w:rPr>
          <w:color w:val="000000" w:themeColor="text1"/>
          <w:lang w:val="en-GB" w:eastAsia="ro-MD"/>
        </w:rPr>
        <w:t>s</w:t>
      </w:r>
      <w:r w:rsidRPr="00301B0F">
        <w:rPr>
          <w:color w:val="000000" w:themeColor="text1"/>
          <w:lang w:val="en-GB" w:eastAsia="ro-MD"/>
        </w:rPr>
        <w:t>ed approach, the simplified standardi</w:t>
      </w:r>
      <w:r w:rsidR="00441768">
        <w:rPr>
          <w:color w:val="000000" w:themeColor="text1"/>
          <w:lang w:val="en-GB" w:eastAsia="ro-MD"/>
        </w:rPr>
        <w:t>s</w:t>
      </w:r>
      <w:r w:rsidRPr="00301B0F">
        <w:rPr>
          <w:color w:val="000000" w:themeColor="text1"/>
          <w:lang w:val="en-GB" w:eastAsia="ro-MD"/>
        </w:rPr>
        <w:t>ed approach, and the initial exposure method set forth in Regulation No 220/2025, shall take into account the risk-mitigating effects of collateral in accordance with the provisions of Chapters III, IV, and V of Regulation No 220/2025, as applicable</w:t>
      </w:r>
      <w:r w:rsidR="002B418E" w:rsidRPr="00301B0F">
        <w:rPr>
          <w:color w:val="000000" w:themeColor="text1"/>
          <w:lang w:val="en-GB" w:eastAsia="ro-MD"/>
        </w:rPr>
        <w:t>.”.</w:t>
      </w:r>
    </w:p>
    <w:p w14:paraId="69BC5A4D" w14:textId="436F216E" w:rsidR="008A1582" w:rsidRPr="00301B0F" w:rsidRDefault="00C71CDB" w:rsidP="008A1582">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paragraph 95</w:t>
      </w:r>
      <w:r w:rsidR="008A1582" w:rsidRPr="00301B0F">
        <w:rPr>
          <w:color w:val="000000" w:themeColor="text1"/>
          <w:lang w:val="en-GB"/>
        </w:rPr>
        <w:t>:</w:t>
      </w:r>
    </w:p>
    <w:p w14:paraId="2BB52932" w14:textId="135DCE46" w:rsidR="008A1582" w:rsidRPr="00301B0F" w:rsidRDefault="00C71CDB" w:rsidP="00CB36D2">
      <w:pPr>
        <w:pStyle w:val="ListParagraph"/>
        <w:numPr>
          <w:ilvl w:val="2"/>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Table 1 shall have the following contents</w:t>
      </w:r>
      <w:r w:rsidR="008A1582" w:rsidRPr="00301B0F">
        <w:rPr>
          <w:color w:val="000000" w:themeColor="text1"/>
          <w:lang w:val="en-GB"/>
        </w:rPr>
        <w:t>:</w:t>
      </w:r>
    </w:p>
    <w:p w14:paraId="7326D3BC" w14:textId="485FF236" w:rsidR="004270DC" w:rsidRPr="00301B0F" w:rsidRDefault="00C71CDB" w:rsidP="004270DC">
      <w:pPr>
        <w:jc w:val="right"/>
        <w:rPr>
          <w:b/>
          <w:bCs/>
          <w:color w:val="000000" w:themeColor="text1"/>
          <w:lang w:val="en-GB" w:eastAsia="ro-MD"/>
        </w:rPr>
      </w:pPr>
      <w:r w:rsidRPr="00301B0F">
        <w:rPr>
          <w:color w:val="000000" w:themeColor="text1"/>
          <w:lang w:val="en-GB"/>
        </w:rPr>
        <w:t>“</w:t>
      </w:r>
      <w:r w:rsidRPr="00301B0F">
        <w:rPr>
          <w:b/>
          <w:bCs/>
          <w:color w:val="000000" w:themeColor="text1"/>
          <w:lang w:val="en-GB" w:eastAsia="ro-MD"/>
        </w:rPr>
        <w:t>Table 1</w:t>
      </w:r>
    </w:p>
    <w:p w14:paraId="7078BA01" w14:textId="77777777" w:rsidR="0047035C" w:rsidRPr="00301B0F" w:rsidRDefault="0047035C" w:rsidP="004270DC">
      <w:pPr>
        <w:jc w:val="right"/>
        <w:rPr>
          <w:color w:val="000000" w:themeColor="text1"/>
          <w:lang w:val="en-GB" w:eastAsia="ro-MD"/>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898"/>
        <w:gridCol w:w="799"/>
        <w:gridCol w:w="888"/>
        <w:gridCol w:w="888"/>
        <w:gridCol w:w="888"/>
        <w:gridCol w:w="888"/>
        <w:gridCol w:w="888"/>
        <w:gridCol w:w="888"/>
        <w:gridCol w:w="888"/>
        <w:gridCol w:w="888"/>
        <w:gridCol w:w="888"/>
      </w:tblGrid>
      <w:tr w:rsidR="000B2CBE" w:rsidRPr="00301B0F" w14:paraId="1424FB2A" w14:textId="77777777" w:rsidTr="000773D3">
        <w:trPr>
          <w:gridAfter w:val="10"/>
          <w:jc w:val="center"/>
        </w:trPr>
        <w:tc>
          <w:tcPr>
            <w:tcW w:w="0" w:type="auto"/>
            <w:tcBorders>
              <w:top w:val="nil"/>
              <w:left w:val="nil"/>
              <w:bottom w:val="single" w:sz="6" w:space="0" w:color="000000"/>
              <w:right w:val="nil"/>
            </w:tcBorders>
            <w:tcMar>
              <w:top w:w="24" w:type="dxa"/>
              <w:left w:w="48" w:type="dxa"/>
              <w:bottom w:w="24" w:type="dxa"/>
              <w:right w:w="48" w:type="dxa"/>
            </w:tcMar>
            <w:hideMark/>
          </w:tcPr>
          <w:p w14:paraId="3395C7F6" w14:textId="3629C0D6" w:rsidR="004270DC" w:rsidRPr="00301B0F" w:rsidRDefault="004270DC" w:rsidP="0047035C">
            <w:pPr>
              <w:rPr>
                <w:color w:val="000000" w:themeColor="text1"/>
                <w:lang w:val="en-GB" w:eastAsia="ro-MD"/>
              </w:rPr>
            </w:pPr>
          </w:p>
        </w:tc>
      </w:tr>
      <w:tr w:rsidR="00C71CDB" w:rsidRPr="00301B0F" w14:paraId="6525C0E7"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tcBorders>
              <w:top w:val="outset" w:sz="6" w:space="0" w:color="auto"/>
              <w:left w:val="outset" w:sz="6" w:space="0" w:color="auto"/>
              <w:bottom w:val="outset" w:sz="6" w:space="0" w:color="auto"/>
              <w:right w:val="outset" w:sz="6" w:space="0" w:color="auto"/>
            </w:tcBorders>
            <w:hideMark/>
          </w:tcPr>
          <w:p w14:paraId="69C44915" w14:textId="4346473D"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Credit quality step with which the credit assessment of the debt security is associated</w:t>
            </w:r>
          </w:p>
        </w:tc>
        <w:tc>
          <w:tcPr>
            <w:tcW w:w="0" w:type="auto"/>
            <w:tcBorders>
              <w:top w:val="outset" w:sz="6" w:space="0" w:color="auto"/>
              <w:left w:val="outset" w:sz="6" w:space="0" w:color="auto"/>
              <w:bottom w:val="outset" w:sz="6" w:space="0" w:color="auto"/>
              <w:right w:val="outset" w:sz="6" w:space="0" w:color="auto"/>
            </w:tcBorders>
            <w:hideMark/>
          </w:tcPr>
          <w:p w14:paraId="2A3487C4" w14:textId="634E370F"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Residual maturity (m), expressed in years</w:t>
            </w:r>
          </w:p>
        </w:tc>
        <w:tc>
          <w:tcPr>
            <w:tcW w:w="0" w:type="auto"/>
            <w:gridSpan w:val="3"/>
            <w:tcBorders>
              <w:top w:val="outset" w:sz="6" w:space="0" w:color="auto"/>
              <w:left w:val="outset" w:sz="6" w:space="0" w:color="auto"/>
              <w:bottom w:val="outset" w:sz="6" w:space="0" w:color="auto"/>
              <w:right w:val="outset" w:sz="6" w:space="0" w:color="auto"/>
            </w:tcBorders>
            <w:hideMark/>
          </w:tcPr>
          <w:p w14:paraId="3C493B93" w14:textId="6F1A17DC"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Volatility adjustments for debt securities issued by the entities described in paragraph 25, sub-paragraphs 2) and 3)</w:t>
            </w:r>
          </w:p>
        </w:tc>
        <w:tc>
          <w:tcPr>
            <w:tcW w:w="0" w:type="auto"/>
            <w:gridSpan w:val="3"/>
            <w:tcBorders>
              <w:top w:val="outset" w:sz="6" w:space="0" w:color="auto"/>
              <w:left w:val="outset" w:sz="6" w:space="0" w:color="auto"/>
              <w:bottom w:val="outset" w:sz="6" w:space="0" w:color="auto"/>
              <w:right w:val="outset" w:sz="6" w:space="0" w:color="auto"/>
            </w:tcBorders>
            <w:hideMark/>
          </w:tcPr>
          <w:p w14:paraId="607F5A48" w14:textId="73E6918F"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Volatility adjustments for debt securities issued by the entities described in paragraph 25, sub-paragraphs 4) and 5)</w:t>
            </w:r>
          </w:p>
        </w:tc>
        <w:tc>
          <w:tcPr>
            <w:tcW w:w="0" w:type="auto"/>
            <w:gridSpan w:val="3"/>
            <w:tcBorders>
              <w:top w:val="outset" w:sz="6" w:space="0" w:color="auto"/>
              <w:left w:val="outset" w:sz="6" w:space="0" w:color="auto"/>
              <w:bottom w:val="outset" w:sz="6" w:space="0" w:color="auto"/>
              <w:right w:val="outset" w:sz="6" w:space="0" w:color="auto"/>
            </w:tcBorders>
            <w:hideMark/>
          </w:tcPr>
          <w:p w14:paraId="10B75ADE" w14:textId="7BB8506E"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Volatility adjustments for securitisation positions and meeting the criteria laid down in paragraph 25, sub-paragraph 9)</w:t>
            </w:r>
          </w:p>
        </w:tc>
      </w:tr>
      <w:tr w:rsidR="00C71CDB" w:rsidRPr="00301B0F" w14:paraId="5040A8D1"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tcBorders>
              <w:top w:val="outset" w:sz="6" w:space="0" w:color="auto"/>
              <w:left w:val="outset" w:sz="6" w:space="0" w:color="auto"/>
              <w:bottom w:val="outset" w:sz="6" w:space="0" w:color="auto"/>
              <w:right w:val="outset" w:sz="6" w:space="0" w:color="auto"/>
            </w:tcBorders>
            <w:hideMark/>
          </w:tcPr>
          <w:p w14:paraId="746637FB" w14:textId="77777777" w:rsidR="00C71CDB" w:rsidRPr="00301B0F" w:rsidRDefault="00C71CDB" w:rsidP="00C71CDB">
            <w:pPr>
              <w:spacing w:line="312" w:lineRule="atLeast"/>
              <w:rPr>
                <w:b/>
                <w:bCs/>
                <w:color w:val="000000" w:themeColor="text1"/>
                <w:lang w:val="en-GB" w:eastAsia="ro-MD"/>
              </w:rPr>
            </w:pPr>
            <w:r w:rsidRPr="00301B0F">
              <w:rPr>
                <w:b/>
                <w:bCs/>
                <w:color w:val="000000" w:themeColor="text1"/>
                <w:lang w:val="en-GB" w:eastAsia="ro-MD"/>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107E7EC3" w14:textId="77777777" w:rsidR="00C71CDB" w:rsidRPr="00301B0F" w:rsidRDefault="00C71CDB" w:rsidP="00C71CDB">
            <w:pPr>
              <w:spacing w:line="312" w:lineRule="atLeast"/>
              <w:rPr>
                <w:b/>
                <w:bCs/>
                <w:color w:val="000000" w:themeColor="text1"/>
                <w:lang w:val="en-GB" w:eastAsia="ro-MD"/>
              </w:rPr>
            </w:pPr>
            <w:r w:rsidRPr="00301B0F">
              <w:rPr>
                <w:b/>
                <w:bCs/>
                <w:color w:val="000000" w:themeColor="text1"/>
                <w:lang w:val="en-GB"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FD1CBF0" w14:textId="77004A77"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20-day liquidation period (%)</w:t>
            </w:r>
          </w:p>
        </w:tc>
        <w:tc>
          <w:tcPr>
            <w:tcW w:w="0" w:type="auto"/>
            <w:tcBorders>
              <w:top w:val="outset" w:sz="6" w:space="0" w:color="auto"/>
              <w:left w:val="outset" w:sz="6" w:space="0" w:color="auto"/>
              <w:bottom w:val="outset" w:sz="6" w:space="0" w:color="auto"/>
              <w:right w:val="outset" w:sz="6" w:space="0" w:color="auto"/>
            </w:tcBorders>
            <w:hideMark/>
          </w:tcPr>
          <w:p w14:paraId="0E89B2DF" w14:textId="63667F1B"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10-day liquidation period (%)</w:t>
            </w:r>
          </w:p>
        </w:tc>
        <w:tc>
          <w:tcPr>
            <w:tcW w:w="0" w:type="auto"/>
            <w:tcBorders>
              <w:top w:val="outset" w:sz="6" w:space="0" w:color="auto"/>
              <w:left w:val="outset" w:sz="6" w:space="0" w:color="auto"/>
              <w:bottom w:val="outset" w:sz="6" w:space="0" w:color="auto"/>
              <w:right w:val="outset" w:sz="6" w:space="0" w:color="auto"/>
            </w:tcBorders>
            <w:hideMark/>
          </w:tcPr>
          <w:p w14:paraId="539FD214" w14:textId="6D551983"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5-day liquidation period (%)</w:t>
            </w:r>
          </w:p>
        </w:tc>
        <w:tc>
          <w:tcPr>
            <w:tcW w:w="0" w:type="auto"/>
            <w:tcBorders>
              <w:top w:val="outset" w:sz="6" w:space="0" w:color="auto"/>
              <w:left w:val="outset" w:sz="6" w:space="0" w:color="auto"/>
              <w:bottom w:val="outset" w:sz="6" w:space="0" w:color="auto"/>
              <w:right w:val="outset" w:sz="6" w:space="0" w:color="auto"/>
            </w:tcBorders>
            <w:hideMark/>
          </w:tcPr>
          <w:p w14:paraId="354B2487" w14:textId="205999AF"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20-day liquidation period (%)</w:t>
            </w:r>
          </w:p>
        </w:tc>
        <w:tc>
          <w:tcPr>
            <w:tcW w:w="0" w:type="auto"/>
            <w:tcBorders>
              <w:top w:val="outset" w:sz="6" w:space="0" w:color="auto"/>
              <w:left w:val="outset" w:sz="6" w:space="0" w:color="auto"/>
              <w:bottom w:val="outset" w:sz="6" w:space="0" w:color="auto"/>
              <w:right w:val="outset" w:sz="6" w:space="0" w:color="auto"/>
            </w:tcBorders>
            <w:hideMark/>
          </w:tcPr>
          <w:p w14:paraId="1EC53207" w14:textId="76861229"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10-day liquidation period (%)</w:t>
            </w:r>
          </w:p>
        </w:tc>
        <w:tc>
          <w:tcPr>
            <w:tcW w:w="0" w:type="auto"/>
            <w:tcBorders>
              <w:top w:val="outset" w:sz="6" w:space="0" w:color="auto"/>
              <w:left w:val="outset" w:sz="6" w:space="0" w:color="auto"/>
              <w:bottom w:val="outset" w:sz="6" w:space="0" w:color="auto"/>
              <w:right w:val="outset" w:sz="6" w:space="0" w:color="auto"/>
            </w:tcBorders>
            <w:hideMark/>
          </w:tcPr>
          <w:p w14:paraId="0E1CE800" w14:textId="42811346"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5-day liquidation period (%)</w:t>
            </w:r>
          </w:p>
        </w:tc>
        <w:tc>
          <w:tcPr>
            <w:tcW w:w="0" w:type="auto"/>
            <w:tcBorders>
              <w:top w:val="outset" w:sz="6" w:space="0" w:color="auto"/>
              <w:left w:val="outset" w:sz="6" w:space="0" w:color="auto"/>
              <w:bottom w:val="outset" w:sz="6" w:space="0" w:color="auto"/>
              <w:right w:val="outset" w:sz="6" w:space="0" w:color="auto"/>
            </w:tcBorders>
            <w:hideMark/>
          </w:tcPr>
          <w:p w14:paraId="05FCF6FC" w14:textId="1B44B2F0"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20-day liquidation period (%)</w:t>
            </w:r>
          </w:p>
        </w:tc>
        <w:tc>
          <w:tcPr>
            <w:tcW w:w="0" w:type="auto"/>
            <w:tcBorders>
              <w:top w:val="outset" w:sz="6" w:space="0" w:color="auto"/>
              <w:left w:val="outset" w:sz="6" w:space="0" w:color="auto"/>
              <w:bottom w:val="outset" w:sz="6" w:space="0" w:color="auto"/>
              <w:right w:val="outset" w:sz="6" w:space="0" w:color="auto"/>
            </w:tcBorders>
            <w:hideMark/>
          </w:tcPr>
          <w:p w14:paraId="549BD0C0" w14:textId="22CE966A"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10-day liquidation period (%)</w:t>
            </w:r>
          </w:p>
        </w:tc>
        <w:tc>
          <w:tcPr>
            <w:tcW w:w="0" w:type="auto"/>
            <w:tcBorders>
              <w:top w:val="outset" w:sz="6" w:space="0" w:color="auto"/>
              <w:left w:val="outset" w:sz="6" w:space="0" w:color="auto"/>
              <w:bottom w:val="outset" w:sz="6" w:space="0" w:color="auto"/>
              <w:right w:val="outset" w:sz="6" w:space="0" w:color="auto"/>
            </w:tcBorders>
            <w:hideMark/>
          </w:tcPr>
          <w:p w14:paraId="78A44038" w14:textId="7A2DC7F8"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5-day liquidation period (%)</w:t>
            </w:r>
          </w:p>
        </w:tc>
      </w:tr>
      <w:tr w:rsidR="000B2CBE" w:rsidRPr="00301B0F" w14:paraId="2B349845"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val="restart"/>
            <w:tcBorders>
              <w:top w:val="outset" w:sz="6" w:space="0" w:color="auto"/>
              <w:left w:val="outset" w:sz="6" w:space="0" w:color="auto"/>
              <w:right w:val="outset" w:sz="6" w:space="0" w:color="auto"/>
            </w:tcBorders>
            <w:hideMark/>
          </w:tcPr>
          <w:p w14:paraId="5B993929"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w:t>
            </w:r>
          </w:p>
          <w:p w14:paraId="2032AE91" w14:textId="77777777" w:rsidR="004270DC" w:rsidRPr="00301B0F" w:rsidRDefault="004270DC" w:rsidP="000773D3">
            <w:pPr>
              <w:spacing w:line="312" w:lineRule="atLeast"/>
              <w:rPr>
                <w:color w:val="000000" w:themeColor="text1"/>
                <w:lang w:val="en-GB" w:eastAsia="ro-MD"/>
              </w:rPr>
            </w:pPr>
            <w:r w:rsidRPr="00301B0F">
              <w:rPr>
                <w:color w:val="000000" w:themeColor="text1"/>
                <w:lang w:val="en-GB" w:eastAsia="ro-MD"/>
              </w:rPr>
              <w:t> </w:t>
            </w:r>
          </w:p>
          <w:p w14:paraId="535FADE4" w14:textId="77777777" w:rsidR="004270DC" w:rsidRPr="00301B0F" w:rsidRDefault="004270DC" w:rsidP="000773D3">
            <w:pPr>
              <w:spacing w:line="312" w:lineRule="atLeast"/>
              <w:rPr>
                <w:color w:val="000000" w:themeColor="text1"/>
                <w:lang w:val="en-GB" w:eastAsia="ro-MD"/>
              </w:rPr>
            </w:pPr>
            <w:r w:rsidRPr="00301B0F">
              <w:rPr>
                <w:color w:val="000000" w:themeColor="text1"/>
                <w:lang w:val="en-GB" w:eastAsia="ro-MD"/>
              </w:rPr>
              <w:t> </w:t>
            </w:r>
          </w:p>
          <w:p w14:paraId="189EED08" w14:textId="77777777" w:rsidR="004270DC" w:rsidRPr="00301B0F" w:rsidRDefault="004270DC" w:rsidP="000773D3">
            <w:pPr>
              <w:spacing w:line="312" w:lineRule="atLeast"/>
              <w:rPr>
                <w:color w:val="000000" w:themeColor="text1"/>
                <w:lang w:val="en-GB" w:eastAsia="ro-MD"/>
              </w:rPr>
            </w:pPr>
            <w:r w:rsidRPr="00301B0F">
              <w:rPr>
                <w:color w:val="000000" w:themeColor="text1"/>
                <w:lang w:val="en-GB" w:eastAsia="ro-MD"/>
              </w:rPr>
              <w:t> </w:t>
            </w:r>
          </w:p>
          <w:p w14:paraId="23F80048" w14:textId="77777777" w:rsidR="004270DC" w:rsidRPr="00301B0F" w:rsidRDefault="004270DC" w:rsidP="000773D3">
            <w:pPr>
              <w:spacing w:line="312" w:lineRule="atLeast"/>
              <w:rPr>
                <w:color w:val="000000" w:themeColor="text1"/>
                <w:lang w:val="en-GB" w:eastAsia="ro-MD"/>
              </w:rPr>
            </w:pPr>
            <w:r w:rsidRPr="00301B0F">
              <w:rPr>
                <w:color w:val="000000" w:themeColor="text1"/>
                <w:lang w:val="en-GB"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C2FA2B8"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m ≤ 1</w:t>
            </w:r>
          </w:p>
        </w:tc>
        <w:tc>
          <w:tcPr>
            <w:tcW w:w="0" w:type="auto"/>
            <w:tcBorders>
              <w:top w:val="outset" w:sz="6" w:space="0" w:color="auto"/>
              <w:left w:val="outset" w:sz="6" w:space="0" w:color="auto"/>
              <w:bottom w:val="outset" w:sz="6" w:space="0" w:color="auto"/>
              <w:right w:val="outset" w:sz="6" w:space="0" w:color="auto"/>
            </w:tcBorders>
            <w:hideMark/>
          </w:tcPr>
          <w:p w14:paraId="4A826182"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0,707</w:t>
            </w:r>
          </w:p>
        </w:tc>
        <w:tc>
          <w:tcPr>
            <w:tcW w:w="0" w:type="auto"/>
            <w:tcBorders>
              <w:top w:val="outset" w:sz="6" w:space="0" w:color="auto"/>
              <w:left w:val="outset" w:sz="6" w:space="0" w:color="auto"/>
              <w:bottom w:val="outset" w:sz="6" w:space="0" w:color="auto"/>
              <w:right w:val="outset" w:sz="6" w:space="0" w:color="auto"/>
            </w:tcBorders>
            <w:hideMark/>
          </w:tcPr>
          <w:p w14:paraId="06E38B07"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0,5</w:t>
            </w:r>
          </w:p>
        </w:tc>
        <w:tc>
          <w:tcPr>
            <w:tcW w:w="0" w:type="auto"/>
            <w:tcBorders>
              <w:top w:val="outset" w:sz="6" w:space="0" w:color="auto"/>
              <w:left w:val="outset" w:sz="6" w:space="0" w:color="auto"/>
              <w:bottom w:val="outset" w:sz="6" w:space="0" w:color="auto"/>
              <w:right w:val="outset" w:sz="6" w:space="0" w:color="auto"/>
            </w:tcBorders>
            <w:hideMark/>
          </w:tcPr>
          <w:p w14:paraId="62593401"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0,354</w:t>
            </w:r>
          </w:p>
        </w:tc>
        <w:tc>
          <w:tcPr>
            <w:tcW w:w="0" w:type="auto"/>
            <w:tcBorders>
              <w:top w:val="outset" w:sz="6" w:space="0" w:color="auto"/>
              <w:left w:val="outset" w:sz="6" w:space="0" w:color="auto"/>
              <w:bottom w:val="outset" w:sz="6" w:space="0" w:color="auto"/>
              <w:right w:val="outset" w:sz="6" w:space="0" w:color="auto"/>
            </w:tcBorders>
            <w:hideMark/>
          </w:tcPr>
          <w:p w14:paraId="132CE781"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3CB9EADF"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w:t>
            </w:r>
          </w:p>
        </w:tc>
        <w:tc>
          <w:tcPr>
            <w:tcW w:w="0" w:type="auto"/>
            <w:tcBorders>
              <w:top w:val="outset" w:sz="6" w:space="0" w:color="auto"/>
              <w:left w:val="outset" w:sz="6" w:space="0" w:color="auto"/>
              <w:bottom w:val="outset" w:sz="6" w:space="0" w:color="auto"/>
              <w:right w:val="outset" w:sz="6" w:space="0" w:color="auto"/>
            </w:tcBorders>
            <w:hideMark/>
          </w:tcPr>
          <w:p w14:paraId="437450E4"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0,707</w:t>
            </w:r>
          </w:p>
        </w:tc>
        <w:tc>
          <w:tcPr>
            <w:tcW w:w="0" w:type="auto"/>
            <w:tcBorders>
              <w:top w:val="outset" w:sz="6" w:space="0" w:color="auto"/>
              <w:left w:val="outset" w:sz="6" w:space="0" w:color="auto"/>
              <w:bottom w:val="outset" w:sz="6" w:space="0" w:color="auto"/>
              <w:right w:val="outset" w:sz="6" w:space="0" w:color="auto"/>
            </w:tcBorders>
            <w:hideMark/>
          </w:tcPr>
          <w:p w14:paraId="60501989"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7BF08D62"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566CE907"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1,414</w:t>
            </w:r>
          </w:p>
        </w:tc>
      </w:tr>
      <w:tr w:rsidR="000B2CBE" w:rsidRPr="00301B0F" w14:paraId="672FA54E"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1BC26A08" w14:textId="77777777" w:rsidR="004270DC" w:rsidRPr="00301B0F" w:rsidRDefault="004270DC" w:rsidP="000773D3">
            <w:pPr>
              <w:spacing w:line="312" w:lineRule="atLeast"/>
              <w:rPr>
                <w:color w:val="000000" w:themeColor="text1"/>
                <w:lang w:val="en-GB" w:eastAsia="ro-MD"/>
              </w:rPr>
            </w:pPr>
          </w:p>
        </w:tc>
        <w:tc>
          <w:tcPr>
            <w:tcW w:w="0" w:type="auto"/>
            <w:tcBorders>
              <w:top w:val="outset" w:sz="6" w:space="0" w:color="auto"/>
              <w:left w:val="outset" w:sz="6" w:space="0" w:color="auto"/>
              <w:bottom w:val="outset" w:sz="6" w:space="0" w:color="auto"/>
              <w:right w:val="outset" w:sz="6" w:space="0" w:color="auto"/>
            </w:tcBorders>
            <w:hideMark/>
          </w:tcPr>
          <w:p w14:paraId="0C6A7C04"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 &lt; m ≤ 3</w:t>
            </w:r>
          </w:p>
        </w:tc>
        <w:tc>
          <w:tcPr>
            <w:tcW w:w="0" w:type="auto"/>
            <w:tcBorders>
              <w:top w:val="outset" w:sz="6" w:space="0" w:color="auto"/>
              <w:left w:val="outset" w:sz="6" w:space="0" w:color="auto"/>
              <w:bottom w:val="outset" w:sz="6" w:space="0" w:color="auto"/>
              <w:right w:val="outset" w:sz="6" w:space="0" w:color="auto"/>
            </w:tcBorders>
            <w:hideMark/>
          </w:tcPr>
          <w:p w14:paraId="6C246763"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4B9F3B2C"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36ADEAB7"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49123F41"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5C11731C"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2479D27D"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2,121</w:t>
            </w:r>
          </w:p>
        </w:tc>
        <w:tc>
          <w:tcPr>
            <w:tcW w:w="0" w:type="auto"/>
            <w:tcBorders>
              <w:top w:val="outset" w:sz="6" w:space="0" w:color="auto"/>
              <w:left w:val="outset" w:sz="6" w:space="0" w:color="auto"/>
              <w:bottom w:val="outset" w:sz="6" w:space="0" w:color="auto"/>
              <w:right w:val="outset" w:sz="6" w:space="0" w:color="auto"/>
            </w:tcBorders>
            <w:hideMark/>
          </w:tcPr>
          <w:p w14:paraId="708CCCAA"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11,314</w:t>
            </w:r>
          </w:p>
        </w:tc>
        <w:tc>
          <w:tcPr>
            <w:tcW w:w="0" w:type="auto"/>
            <w:tcBorders>
              <w:top w:val="outset" w:sz="6" w:space="0" w:color="auto"/>
              <w:left w:val="outset" w:sz="6" w:space="0" w:color="auto"/>
              <w:bottom w:val="outset" w:sz="6" w:space="0" w:color="auto"/>
              <w:right w:val="outset" w:sz="6" w:space="0" w:color="auto"/>
            </w:tcBorders>
            <w:hideMark/>
          </w:tcPr>
          <w:p w14:paraId="64948BFE"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8</w:t>
            </w:r>
          </w:p>
        </w:tc>
        <w:tc>
          <w:tcPr>
            <w:tcW w:w="0" w:type="auto"/>
            <w:tcBorders>
              <w:top w:val="outset" w:sz="6" w:space="0" w:color="auto"/>
              <w:left w:val="outset" w:sz="6" w:space="0" w:color="auto"/>
              <w:bottom w:val="outset" w:sz="6" w:space="0" w:color="auto"/>
              <w:right w:val="outset" w:sz="6" w:space="0" w:color="auto"/>
            </w:tcBorders>
            <w:hideMark/>
          </w:tcPr>
          <w:p w14:paraId="31CB8164"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5,657</w:t>
            </w:r>
          </w:p>
        </w:tc>
      </w:tr>
      <w:tr w:rsidR="000B2CBE" w:rsidRPr="00301B0F" w14:paraId="6F22476A"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29E58238" w14:textId="77777777" w:rsidR="004270DC" w:rsidRPr="00301B0F" w:rsidRDefault="004270DC" w:rsidP="000773D3">
            <w:pPr>
              <w:spacing w:line="312" w:lineRule="atLeast"/>
              <w:rPr>
                <w:color w:val="000000" w:themeColor="text1"/>
                <w:lang w:val="en-GB" w:eastAsia="ro-MD"/>
              </w:rPr>
            </w:pPr>
          </w:p>
        </w:tc>
        <w:tc>
          <w:tcPr>
            <w:tcW w:w="0" w:type="auto"/>
            <w:tcBorders>
              <w:top w:val="outset" w:sz="6" w:space="0" w:color="auto"/>
              <w:left w:val="outset" w:sz="6" w:space="0" w:color="auto"/>
              <w:bottom w:val="outset" w:sz="6" w:space="0" w:color="auto"/>
              <w:right w:val="outset" w:sz="6" w:space="0" w:color="auto"/>
            </w:tcBorders>
            <w:hideMark/>
          </w:tcPr>
          <w:p w14:paraId="64C172DC"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3 &lt; m ≤ 5</w:t>
            </w:r>
          </w:p>
        </w:tc>
        <w:tc>
          <w:tcPr>
            <w:tcW w:w="0" w:type="auto"/>
            <w:tcBorders>
              <w:top w:val="outset" w:sz="6" w:space="0" w:color="auto"/>
              <w:left w:val="outset" w:sz="6" w:space="0" w:color="auto"/>
              <w:bottom w:val="outset" w:sz="6" w:space="0" w:color="auto"/>
              <w:right w:val="outset" w:sz="6" w:space="0" w:color="auto"/>
            </w:tcBorders>
            <w:hideMark/>
          </w:tcPr>
          <w:p w14:paraId="6C605DED"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48003E8A"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4C6C0E45"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686C5A9C"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1FDD01F1"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7CA04A45"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2C4E4376"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11,314</w:t>
            </w:r>
          </w:p>
        </w:tc>
        <w:tc>
          <w:tcPr>
            <w:tcW w:w="0" w:type="auto"/>
            <w:tcBorders>
              <w:top w:val="outset" w:sz="6" w:space="0" w:color="auto"/>
              <w:left w:val="outset" w:sz="6" w:space="0" w:color="auto"/>
              <w:bottom w:val="outset" w:sz="6" w:space="0" w:color="auto"/>
              <w:right w:val="outset" w:sz="6" w:space="0" w:color="auto"/>
            </w:tcBorders>
            <w:hideMark/>
          </w:tcPr>
          <w:p w14:paraId="517ECC39"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8</w:t>
            </w:r>
          </w:p>
        </w:tc>
        <w:tc>
          <w:tcPr>
            <w:tcW w:w="0" w:type="auto"/>
            <w:tcBorders>
              <w:top w:val="outset" w:sz="6" w:space="0" w:color="auto"/>
              <w:left w:val="outset" w:sz="6" w:space="0" w:color="auto"/>
              <w:bottom w:val="outset" w:sz="6" w:space="0" w:color="auto"/>
              <w:right w:val="outset" w:sz="6" w:space="0" w:color="auto"/>
            </w:tcBorders>
            <w:hideMark/>
          </w:tcPr>
          <w:p w14:paraId="086D960E"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5,657</w:t>
            </w:r>
          </w:p>
        </w:tc>
      </w:tr>
      <w:tr w:rsidR="000B2CBE" w:rsidRPr="00301B0F" w14:paraId="45641245"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111A8D6B" w14:textId="77777777" w:rsidR="004270DC" w:rsidRPr="00301B0F" w:rsidRDefault="004270DC" w:rsidP="000773D3">
            <w:pPr>
              <w:spacing w:line="312" w:lineRule="atLeast"/>
              <w:rPr>
                <w:color w:val="000000" w:themeColor="text1"/>
                <w:lang w:val="en-GB" w:eastAsia="ro-MD"/>
              </w:rPr>
            </w:pPr>
          </w:p>
        </w:tc>
        <w:tc>
          <w:tcPr>
            <w:tcW w:w="0" w:type="auto"/>
            <w:tcBorders>
              <w:top w:val="outset" w:sz="6" w:space="0" w:color="auto"/>
              <w:left w:val="outset" w:sz="6" w:space="0" w:color="auto"/>
              <w:bottom w:val="outset" w:sz="6" w:space="0" w:color="auto"/>
              <w:right w:val="outset" w:sz="6" w:space="0" w:color="auto"/>
            </w:tcBorders>
            <w:hideMark/>
          </w:tcPr>
          <w:p w14:paraId="42B00887"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5 &lt; m ≤ 10</w:t>
            </w:r>
          </w:p>
        </w:tc>
        <w:tc>
          <w:tcPr>
            <w:tcW w:w="0" w:type="auto"/>
            <w:tcBorders>
              <w:top w:val="outset" w:sz="6" w:space="0" w:color="auto"/>
              <w:left w:val="outset" w:sz="6" w:space="0" w:color="auto"/>
              <w:bottom w:val="outset" w:sz="6" w:space="0" w:color="auto"/>
              <w:right w:val="outset" w:sz="6" w:space="0" w:color="auto"/>
            </w:tcBorders>
            <w:hideMark/>
          </w:tcPr>
          <w:p w14:paraId="764407E5"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2AEFC8C4"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4BF5C252"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2E2CA9B1"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0276C658"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21A3C5AF"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22E38865"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22,627</w:t>
            </w:r>
          </w:p>
        </w:tc>
        <w:tc>
          <w:tcPr>
            <w:tcW w:w="0" w:type="auto"/>
            <w:tcBorders>
              <w:top w:val="outset" w:sz="6" w:space="0" w:color="auto"/>
              <w:left w:val="outset" w:sz="6" w:space="0" w:color="auto"/>
              <w:bottom w:val="outset" w:sz="6" w:space="0" w:color="auto"/>
              <w:right w:val="outset" w:sz="6" w:space="0" w:color="auto"/>
            </w:tcBorders>
            <w:hideMark/>
          </w:tcPr>
          <w:p w14:paraId="0DF44F8E"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16</w:t>
            </w:r>
          </w:p>
        </w:tc>
        <w:tc>
          <w:tcPr>
            <w:tcW w:w="0" w:type="auto"/>
            <w:tcBorders>
              <w:top w:val="outset" w:sz="6" w:space="0" w:color="auto"/>
              <w:left w:val="outset" w:sz="6" w:space="0" w:color="auto"/>
              <w:bottom w:val="outset" w:sz="6" w:space="0" w:color="auto"/>
              <w:right w:val="outset" w:sz="6" w:space="0" w:color="auto"/>
            </w:tcBorders>
            <w:hideMark/>
          </w:tcPr>
          <w:p w14:paraId="709CAB49"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11,314</w:t>
            </w:r>
          </w:p>
        </w:tc>
      </w:tr>
      <w:tr w:rsidR="000B2CBE" w:rsidRPr="00301B0F" w14:paraId="78570E68"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bottom w:val="outset" w:sz="6" w:space="0" w:color="auto"/>
              <w:right w:val="outset" w:sz="6" w:space="0" w:color="auto"/>
            </w:tcBorders>
            <w:hideMark/>
          </w:tcPr>
          <w:p w14:paraId="2B1DB98F" w14:textId="77777777" w:rsidR="004270DC" w:rsidRPr="00301B0F" w:rsidRDefault="004270DC" w:rsidP="000773D3">
            <w:pPr>
              <w:spacing w:line="312" w:lineRule="atLeast"/>
              <w:rPr>
                <w:color w:val="000000" w:themeColor="text1"/>
                <w:lang w:val="en-GB" w:eastAsia="ro-MD"/>
              </w:rPr>
            </w:pPr>
          </w:p>
        </w:tc>
        <w:tc>
          <w:tcPr>
            <w:tcW w:w="0" w:type="auto"/>
            <w:tcBorders>
              <w:top w:val="outset" w:sz="6" w:space="0" w:color="auto"/>
              <w:left w:val="outset" w:sz="6" w:space="0" w:color="auto"/>
              <w:bottom w:val="outset" w:sz="6" w:space="0" w:color="auto"/>
              <w:right w:val="outset" w:sz="6" w:space="0" w:color="auto"/>
            </w:tcBorders>
            <w:hideMark/>
          </w:tcPr>
          <w:p w14:paraId="2E646A48"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m &gt; 10</w:t>
            </w:r>
          </w:p>
        </w:tc>
        <w:tc>
          <w:tcPr>
            <w:tcW w:w="0" w:type="auto"/>
            <w:tcBorders>
              <w:top w:val="outset" w:sz="6" w:space="0" w:color="auto"/>
              <w:left w:val="outset" w:sz="6" w:space="0" w:color="auto"/>
              <w:bottom w:val="outset" w:sz="6" w:space="0" w:color="auto"/>
              <w:right w:val="outset" w:sz="6" w:space="0" w:color="auto"/>
            </w:tcBorders>
            <w:hideMark/>
          </w:tcPr>
          <w:p w14:paraId="5D4E22FF"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19A17E7C"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637E1976"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77A3A978"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5CA9461F"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64F3F1E5"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7D93C7D6"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22,627</w:t>
            </w:r>
          </w:p>
        </w:tc>
        <w:tc>
          <w:tcPr>
            <w:tcW w:w="0" w:type="auto"/>
            <w:tcBorders>
              <w:top w:val="outset" w:sz="6" w:space="0" w:color="auto"/>
              <w:left w:val="outset" w:sz="6" w:space="0" w:color="auto"/>
              <w:bottom w:val="outset" w:sz="6" w:space="0" w:color="auto"/>
              <w:right w:val="outset" w:sz="6" w:space="0" w:color="auto"/>
            </w:tcBorders>
            <w:hideMark/>
          </w:tcPr>
          <w:p w14:paraId="2966614B"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16</w:t>
            </w:r>
          </w:p>
        </w:tc>
        <w:tc>
          <w:tcPr>
            <w:tcW w:w="0" w:type="auto"/>
            <w:tcBorders>
              <w:top w:val="outset" w:sz="6" w:space="0" w:color="auto"/>
              <w:left w:val="outset" w:sz="6" w:space="0" w:color="auto"/>
              <w:bottom w:val="outset" w:sz="6" w:space="0" w:color="auto"/>
              <w:right w:val="outset" w:sz="6" w:space="0" w:color="auto"/>
            </w:tcBorders>
            <w:hideMark/>
          </w:tcPr>
          <w:p w14:paraId="57AF3A29"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11,314</w:t>
            </w:r>
          </w:p>
        </w:tc>
      </w:tr>
      <w:tr w:rsidR="000B2CBE" w:rsidRPr="00301B0F" w14:paraId="1614DA7A"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val="restart"/>
            <w:tcBorders>
              <w:top w:val="outset" w:sz="6" w:space="0" w:color="auto"/>
              <w:left w:val="outset" w:sz="6" w:space="0" w:color="auto"/>
              <w:right w:val="outset" w:sz="6" w:space="0" w:color="auto"/>
            </w:tcBorders>
            <w:hideMark/>
          </w:tcPr>
          <w:p w14:paraId="3ED0B1FA"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2-3</w:t>
            </w:r>
          </w:p>
          <w:p w14:paraId="6748A9F2" w14:textId="77777777" w:rsidR="004270DC" w:rsidRPr="00301B0F" w:rsidRDefault="004270DC" w:rsidP="000773D3">
            <w:pPr>
              <w:spacing w:line="312" w:lineRule="atLeast"/>
              <w:rPr>
                <w:color w:val="000000" w:themeColor="text1"/>
                <w:lang w:val="en-GB" w:eastAsia="ro-MD"/>
              </w:rPr>
            </w:pPr>
            <w:r w:rsidRPr="00301B0F">
              <w:rPr>
                <w:color w:val="000000" w:themeColor="text1"/>
                <w:lang w:val="en-GB" w:eastAsia="ro-MD"/>
              </w:rPr>
              <w:t> </w:t>
            </w:r>
          </w:p>
          <w:p w14:paraId="69AC98DB" w14:textId="77777777" w:rsidR="004270DC" w:rsidRPr="00301B0F" w:rsidRDefault="004270DC" w:rsidP="000773D3">
            <w:pPr>
              <w:spacing w:line="312" w:lineRule="atLeast"/>
              <w:rPr>
                <w:color w:val="000000" w:themeColor="text1"/>
                <w:lang w:val="en-GB" w:eastAsia="ro-MD"/>
              </w:rPr>
            </w:pPr>
            <w:r w:rsidRPr="00301B0F">
              <w:rPr>
                <w:color w:val="000000" w:themeColor="text1"/>
                <w:lang w:val="en-GB" w:eastAsia="ro-MD"/>
              </w:rPr>
              <w:t> </w:t>
            </w:r>
          </w:p>
          <w:p w14:paraId="1D70F1A3" w14:textId="77777777" w:rsidR="004270DC" w:rsidRPr="00301B0F" w:rsidRDefault="004270DC" w:rsidP="000773D3">
            <w:pPr>
              <w:spacing w:line="312" w:lineRule="atLeast"/>
              <w:rPr>
                <w:color w:val="000000" w:themeColor="text1"/>
                <w:lang w:val="en-GB" w:eastAsia="ro-MD"/>
              </w:rPr>
            </w:pPr>
            <w:r w:rsidRPr="00301B0F">
              <w:rPr>
                <w:color w:val="000000" w:themeColor="text1"/>
                <w:lang w:val="en-GB" w:eastAsia="ro-MD"/>
              </w:rPr>
              <w:t> </w:t>
            </w:r>
          </w:p>
          <w:p w14:paraId="10F2B928"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AB5FD2F"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m ≤ 1</w:t>
            </w:r>
          </w:p>
        </w:tc>
        <w:tc>
          <w:tcPr>
            <w:tcW w:w="0" w:type="auto"/>
            <w:tcBorders>
              <w:top w:val="outset" w:sz="6" w:space="0" w:color="auto"/>
              <w:left w:val="outset" w:sz="6" w:space="0" w:color="auto"/>
              <w:bottom w:val="outset" w:sz="6" w:space="0" w:color="auto"/>
              <w:right w:val="outset" w:sz="6" w:space="0" w:color="auto"/>
            </w:tcBorders>
            <w:hideMark/>
          </w:tcPr>
          <w:p w14:paraId="42BEE31E"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301BD715"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w:t>
            </w:r>
          </w:p>
        </w:tc>
        <w:tc>
          <w:tcPr>
            <w:tcW w:w="0" w:type="auto"/>
            <w:tcBorders>
              <w:top w:val="outset" w:sz="6" w:space="0" w:color="auto"/>
              <w:left w:val="outset" w:sz="6" w:space="0" w:color="auto"/>
              <w:bottom w:val="outset" w:sz="6" w:space="0" w:color="auto"/>
              <w:right w:val="outset" w:sz="6" w:space="0" w:color="auto"/>
            </w:tcBorders>
            <w:hideMark/>
          </w:tcPr>
          <w:p w14:paraId="37170AA9"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0,707</w:t>
            </w:r>
          </w:p>
        </w:tc>
        <w:tc>
          <w:tcPr>
            <w:tcW w:w="0" w:type="auto"/>
            <w:tcBorders>
              <w:top w:val="outset" w:sz="6" w:space="0" w:color="auto"/>
              <w:left w:val="outset" w:sz="6" w:space="0" w:color="auto"/>
              <w:bottom w:val="outset" w:sz="6" w:space="0" w:color="auto"/>
              <w:right w:val="outset" w:sz="6" w:space="0" w:color="auto"/>
            </w:tcBorders>
            <w:hideMark/>
          </w:tcPr>
          <w:p w14:paraId="0A00BA8F"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5901A629"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2F506529"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3A45AFCF"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1E7670D7"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40D3BD60"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2,828</w:t>
            </w:r>
          </w:p>
        </w:tc>
      </w:tr>
      <w:tr w:rsidR="000B2CBE" w:rsidRPr="00301B0F" w14:paraId="3560DE51"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390E428D" w14:textId="77777777" w:rsidR="004270DC" w:rsidRPr="00301B0F" w:rsidRDefault="004270DC" w:rsidP="000773D3">
            <w:pPr>
              <w:spacing w:before="60" w:after="60" w:line="312" w:lineRule="atLeast"/>
              <w:jc w:val="both"/>
              <w:rPr>
                <w:color w:val="000000" w:themeColor="text1"/>
                <w:lang w:val="en-GB" w:eastAsia="ro-MD"/>
              </w:rPr>
            </w:pPr>
          </w:p>
        </w:tc>
        <w:tc>
          <w:tcPr>
            <w:tcW w:w="0" w:type="auto"/>
            <w:tcBorders>
              <w:top w:val="outset" w:sz="6" w:space="0" w:color="auto"/>
              <w:left w:val="outset" w:sz="6" w:space="0" w:color="auto"/>
              <w:bottom w:val="outset" w:sz="6" w:space="0" w:color="auto"/>
              <w:right w:val="outset" w:sz="6" w:space="0" w:color="auto"/>
            </w:tcBorders>
            <w:hideMark/>
          </w:tcPr>
          <w:p w14:paraId="731BF8F5"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 &lt; m ≤ 3</w:t>
            </w:r>
          </w:p>
        </w:tc>
        <w:tc>
          <w:tcPr>
            <w:tcW w:w="0" w:type="auto"/>
            <w:tcBorders>
              <w:top w:val="outset" w:sz="6" w:space="0" w:color="auto"/>
              <w:left w:val="outset" w:sz="6" w:space="0" w:color="auto"/>
              <w:bottom w:val="outset" w:sz="6" w:space="0" w:color="auto"/>
              <w:right w:val="outset" w:sz="6" w:space="0" w:color="auto"/>
            </w:tcBorders>
            <w:hideMark/>
          </w:tcPr>
          <w:p w14:paraId="132AB1C3"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67F248E6"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54E38F32"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2,121</w:t>
            </w:r>
          </w:p>
        </w:tc>
        <w:tc>
          <w:tcPr>
            <w:tcW w:w="0" w:type="auto"/>
            <w:tcBorders>
              <w:top w:val="outset" w:sz="6" w:space="0" w:color="auto"/>
              <w:left w:val="outset" w:sz="6" w:space="0" w:color="auto"/>
              <w:bottom w:val="outset" w:sz="6" w:space="0" w:color="auto"/>
              <w:right w:val="outset" w:sz="6" w:space="0" w:color="auto"/>
            </w:tcBorders>
            <w:hideMark/>
          </w:tcPr>
          <w:p w14:paraId="38F963BB"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5273CC5B"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3F73AD94"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53D6DD88"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74FD9148"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3EBB600E"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8,485</w:t>
            </w:r>
          </w:p>
        </w:tc>
      </w:tr>
      <w:tr w:rsidR="000B2CBE" w:rsidRPr="00301B0F" w14:paraId="72347E10"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603D8C1C" w14:textId="77777777" w:rsidR="004270DC" w:rsidRPr="00301B0F" w:rsidRDefault="004270DC" w:rsidP="000773D3">
            <w:pPr>
              <w:spacing w:before="60" w:after="60" w:line="312" w:lineRule="atLeast"/>
              <w:jc w:val="both"/>
              <w:rPr>
                <w:color w:val="000000" w:themeColor="text1"/>
                <w:lang w:val="en-GB" w:eastAsia="ro-MD"/>
              </w:rPr>
            </w:pPr>
          </w:p>
        </w:tc>
        <w:tc>
          <w:tcPr>
            <w:tcW w:w="0" w:type="auto"/>
            <w:tcBorders>
              <w:top w:val="outset" w:sz="6" w:space="0" w:color="auto"/>
              <w:left w:val="outset" w:sz="6" w:space="0" w:color="auto"/>
              <w:bottom w:val="outset" w:sz="6" w:space="0" w:color="auto"/>
              <w:right w:val="outset" w:sz="6" w:space="0" w:color="auto"/>
            </w:tcBorders>
            <w:hideMark/>
          </w:tcPr>
          <w:p w14:paraId="34350156"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3 &lt; m ≤ 5</w:t>
            </w:r>
          </w:p>
        </w:tc>
        <w:tc>
          <w:tcPr>
            <w:tcW w:w="0" w:type="auto"/>
            <w:tcBorders>
              <w:top w:val="outset" w:sz="6" w:space="0" w:color="auto"/>
              <w:left w:val="outset" w:sz="6" w:space="0" w:color="auto"/>
              <w:bottom w:val="outset" w:sz="6" w:space="0" w:color="auto"/>
              <w:right w:val="outset" w:sz="6" w:space="0" w:color="auto"/>
            </w:tcBorders>
            <w:hideMark/>
          </w:tcPr>
          <w:p w14:paraId="7081210C"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24DDBD47"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69B30044"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2,121</w:t>
            </w:r>
          </w:p>
        </w:tc>
        <w:tc>
          <w:tcPr>
            <w:tcW w:w="0" w:type="auto"/>
            <w:tcBorders>
              <w:top w:val="outset" w:sz="6" w:space="0" w:color="auto"/>
              <w:left w:val="outset" w:sz="6" w:space="0" w:color="auto"/>
              <w:bottom w:val="outset" w:sz="6" w:space="0" w:color="auto"/>
              <w:right w:val="outset" w:sz="6" w:space="0" w:color="auto"/>
            </w:tcBorders>
            <w:hideMark/>
          </w:tcPr>
          <w:p w14:paraId="131E28BE"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070DB40E"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33C124F3"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13B34A08"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602BE0E2"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0E5F1EFD"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8,485</w:t>
            </w:r>
          </w:p>
        </w:tc>
      </w:tr>
      <w:tr w:rsidR="000B2CBE" w:rsidRPr="00301B0F" w14:paraId="42E48543"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62D527D1" w14:textId="77777777" w:rsidR="004270DC" w:rsidRPr="00301B0F" w:rsidRDefault="004270DC" w:rsidP="000773D3">
            <w:pPr>
              <w:spacing w:before="60" w:after="60" w:line="312" w:lineRule="atLeast"/>
              <w:jc w:val="both"/>
              <w:rPr>
                <w:color w:val="000000" w:themeColor="text1"/>
                <w:lang w:val="en-GB" w:eastAsia="ro-MD"/>
              </w:rPr>
            </w:pPr>
          </w:p>
        </w:tc>
        <w:tc>
          <w:tcPr>
            <w:tcW w:w="0" w:type="auto"/>
            <w:tcBorders>
              <w:top w:val="outset" w:sz="6" w:space="0" w:color="auto"/>
              <w:left w:val="outset" w:sz="6" w:space="0" w:color="auto"/>
              <w:bottom w:val="outset" w:sz="6" w:space="0" w:color="auto"/>
              <w:right w:val="outset" w:sz="6" w:space="0" w:color="auto"/>
            </w:tcBorders>
            <w:hideMark/>
          </w:tcPr>
          <w:p w14:paraId="26656E72"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5 &lt; m ≤ 10</w:t>
            </w:r>
          </w:p>
        </w:tc>
        <w:tc>
          <w:tcPr>
            <w:tcW w:w="0" w:type="auto"/>
            <w:tcBorders>
              <w:top w:val="outset" w:sz="6" w:space="0" w:color="auto"/>
              <w:left w:val="outset" w:sz="6" w:space="0" w:color="auto"/>
              <w:bottom w:val="outset" w:sz="6" w:space="0" w:color="auto"/>
              <w:right w:val="outset" w:sz="6" w:space="0" w:color="auto"/>
            </w:tcBorders>
            <w:hideMark/>
          </w:tcPr>
          <w:p w14:paraId="1C4AC603"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7B9B1636"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07B00D82"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0802D952"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7057CEE4"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73A8F231"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33603B43"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33,941</w:t>
            </w:r>
          </w:p>
        </w:tc>
        <w:tc>
          <w:tcPr>
            <w:tcW w:w="0" w:type="auto"/>
            <w:tcBorders>
              <w:top w:val="outset" w:sz="6" w:space="0" w:color="auto"/>
              <w:left w:val="outset" w:sz="6" w:space="0" w:color="auto"/>
              <w:bottom w:val="outset" w:sz="6" w:space="0" w:color="auto"/>
              <w:right w:val="outset" w:sz="6" w:space="0" w:color="auto"/>
            </w:tcBorders>
            <w:hideMark/>
          </w:tcPr>
          <w:p w14:paraId="0DCE3DC1"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24</w:t>
            </w:r>
          </w:p>
        </w:tc>
        <w:tc>
          <w:tcPr>
            <w:tcW w:w="0" w:type="auto"/>
            <w:tcBorders>
              <w:top w:val="outset" w:sz="6" w:space="0" w:color="auto"/>
              <w:left w:val="outset" w:sz="6" w:space="0" w:color="auto"/>
              <w:bottom w:val="outset" w:sz="6" w:space="0" w:color="auto"/>
              <w:right w:val="outset" w:sz="6" w:space="0" w:color="auto"/>
            </w:tcBorders>
            <w:hideMark/>
          </w:tcPr>
          <w:p w14:paraId="3C23C25F"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16,971</w:t>
            </w:r>
          </w:p>
        </w:tc>
      </w:tr>
      <w:tr w:rsidR="000B2CBE" w:rsidRPr="00301B0F" w14:paraId="060F10F4"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bottom w:val="outset" w:sz="6" w:space="0" w:color="auto"/>
              <w:right w:val="outset" w:sz="6" w:space="0" w:color="auto"/>
            </w:tcBorders>
            <w:hideMark/>
          </w:tcPr>
          <w:p w14:paraId="53D93182" w14:textId="77777777" w:rsidR="004270DC" w:rsidRPr="00301B0F" w:rsidRDefault="004270DC" w:rsidP="000773D3">
            <w:pPr>
              <w:spacing w:before="60" w:after="60" w:line="312" w:lineRule="atLeast"/>
              <w:jc w:val="both"/>
              <w:rPr>
                <w:color w:val="000000" w:themeColor="text1"/>
                <w:lang w:val="en-GB" w:eastAsia="ro-MD"/>
              </w:rPr>
            </w:pPr>
          </w:p>
        </w:tc>
        <w:tc>
          <w:tcPr>
            <w:tcW w:w="0" w:type="auto"/>
            <w:tcBorders>
              <w:top w:val="outset" w:sz="6" w:space="0" w:color="auto"/>
              <w:left w:val="outset" w:sz="6" w:space="0" w:color="auto"/>
              <w:bottom w:val="outset" w:sz="6" w:space="0" w:color="auto"/>
              <w:right w:val="outset" w:sz="6" w:space="0" w:color="auto"/>
            </w:tcBorders>
            <w:hideMark/>
          </w:tcPr>
          <w:p w14:paraId="4E4D1DB8"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m &gt; 10</w:t>
            </w:r>
          </w:p>
        </w:tc>
        <w:tc>
          <w:tcPr>
            <w:tcW w:w="0" w:type="auto"/>
            <w:tcBorders>
              <w:top w:val="outset" w:sz="6" w:space="0" w:color="auto"/>
              <w:left w:val="outset" w:sz="6" w:space="0" w:color="auto"/>
              <w:bottom w:val="outset" w:sz="6" w:space="0" w:color="auto"/>
              <w:right w:val="outset" w:sz="6" w:space="0" w:color="auto"/>
            </w:tcBorders>
            <w:hideMark/>
          </w:tcPr>
          <w:p w14:paraId="7F79FF58"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0645DB91"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4105023F"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78340A0B"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28,284</w:t>
            </w:r>
          </w:p>
        </w:tc>
        <w:tc>
          <w:tcPr>
            <w:tcW w:w="0" w:type="auto"/>
            <w:tcBorders>
              <w:top w:val="outset" w:sz="6" w:space="0" w:color="auto"/>
              <w:left w:val="outset" w:sz="6" w:space="0" w:color="auto"/>
              <w:bottom w:val="outset" w:sz="6" w:space="0" w:color="auto"/>
              <w:right w:val="outset" w:sz="6" w:space="0" w:color="auto"/>
            </w:tcBorders>
            <w:hideMark/>
          </w:tcPr>
          <w:p w14:paraId="7F723C0E"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20</w:t>
            </w:r>
          </w:p>
        </w:tc>
        <w:tc>
          <w:tcPr>
            <w:tcW w:w="0" w:type="auto"/>
            <w:tcBorders>
              <w:top w:val="outset" w:sz="6" w:space="0" w:color="auto"/>
              <w:left w:val="outset" w:sz="6" w:space="0" w:color="auto"/>
              <w:bottom w:val="outset" w:sz="6" w:space="0" w:color="auto"/>
              <w:right w:val="outset" w:sz="6" w:space="0" w:color="auto"/>
            </w:tcBorders>
            <w:hideMark/>
          </w:tcPr>
          <w:p w14:paraId="5C76F339"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14,142</w:t>
            </w:r>
          </w:p>
        </w:tc>
        <w:tc>
          <w:tcPr>
            <w:tcW w:w="0" w:type="auto"/>
            <w:tcBorders>
              <w:top w:val="outset" w:sz="6" w:space="0" w:color="auto"/>
              <w:left w:val="outset" w:sz="6" w:space="0" w:color="auto"/>
              <w:bottom w:val="outset" w:sz="6" w:space="0" w:color="auto"/>
              <w:right w:val="outset" w:sz="6" w:space="0" w:color="auto"/>
            </w:tcBorders>
            <w:hideMark/>
          </w:tcPr>
          <w:p w14:paraId="5A5DC193"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33,941</w:t>
            </w:r>
          </w:p>
        </w:tc>
        <w:tc>
          <w:tcPr>
            <w:tcW w:w="0" w:type="auto"/>
            <w:tcBorders>
              <w:top w:val="outset" w:sz="6" w:space="0" w:color="auto"/>
              <w:left w:val="outset" w:sz="6" w:space="0" w:color="auto"/>
              <w:bottom w:val="outset" w:sz="6" w:space="0" w:color="auto"/>
              <w:right w:val="outset" w:sz="6" w:space="0" w:color="auto"/>
            </w:tcBorders>
            <w:hideMark/>
          </w:tcPr>
          <w:p w14:paraId="59D80582"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24</w:t>
            </w:r>
          </w:p>
        </w:tc>
        <w:tc>
          <w:tcPr>
            <w:tcW w:w="0" w:type="auto"/>
            <w:tcBorders>
              <w:top w:val="outset" w:sz="6" w:space="0" w:color="auto"/>
              <w:left w:val="outset" w:sz="6" w:space="0" w:color="auto"/>
              <w:bottom w:val="outset" w:sz="6" w:space="0" w:color="auto"/>
              <w:right w:val="outset" w:sz="6" w:space="0" w:color="auto"/>
            </w:tcBorders>
            <w:hideMark/>
          </w:tcPr>
          <w:p w14:paraId="4F5835A6"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16,971</w:t>
            </w:r>
          </w:p>
        </w:tc>
      </w:tr>
      <w:tr w:rsidR="004270DC" w:rsidRPr="00301B0F" w14:paraId="2182C5F2"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tcBorders>
              <w:top w:val="outset" w:sz="6" w:space="0" w:color="auto"/>
              <w:left w:val="outset" w:sz="6" w:space="0" w:color="auto"/>
              <w:bottom w:val="outset" w:sz="6" w:space="0" w:color="auto"/>
              <w:right w:val="outset" w:sz="6" w:space="0" w:color="auto"/>
            </w:tcBorders>
            <w:hideMark/>
          </w:tcPr>
          <w:p w14:paraId="0B0A067C" w14:textId="77777777" w:rsidR="004270DC" w:rsidRPr="00301B0F" w:rsidRDefault="004270DC" w:rsidP="000773D3">
            <w:pPr>
              <w:spacing w:line="312" w:lineRule="atLeast"/>
              <w:rPr>
                <w:color w:val="000000" w:themeColor="text1"/>
                <w:lang w:val="en-GB" w:eastAsia="ro-MD"/>
              </w:rPr>
            </w:pPr>
            <w:r w:rsidRPr="00301B0F">
              <w:rPr>
                <w:color w:val="000000" w:themeColor="text1"/>
                <w:lang w:val="en-GB"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1AA76C1C" w14:textId="3FF48565" w:rsidR="004270DC" w:rsidRPr="00301B0F" w:rsidRDefault="00C71CDB" w:rsidP="000773D3">
            <w:pPr>
              <w:spacing w:before="60" w:after="60" w:line="312" w:lineRule="atLeast"/>
              <w:jc w:val="both"/>
              <w:rPr>
                <w:color w:val="000000" w:themeColor="text1"/>
                <w:lang w:val="en-GB" w:eastAsia="ro-MD"/>
              </w:rPr>
            </w:pPr>
            <w:r w:rsidRPr="00301B0F">
              <w:rPr>
                <w:color w:val="000000" w:themeColor="text1"/>
                <w:lang w:val="en-GB" w:eastAsia="ro-MD"/>
              </w:rPr>
              <w:t>all</w:t>
            </w:r>
          </w:p>
        </w:tc>
        <w:tc>
          <w:tcPr>
            <w:tcW w:w="0" w:type="auto"/>
            <w:tcBorders>
              <w:top w:val="outset" w:sz="6" w:space="0" w:color="auto"/>
              <w:left w:val="outset" w:sz="6" w:space="0" w:color="auto"/>
              <w:bottom w:val="outset" w:sz="6" w:space="0" w:color="auto"/>
              <w:right w:val="outset" w:sz="6" w:space="0" w:color="auto"/>
            </w:tcBorders>
            <w:hideMark/>
          </w:tcPr>
          <w:p w14:paraId="23EB3654"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21,213</w:t>
            </w:r>
          </w:p>
        </w:tc>
        <w:tc>
          <w:tcPr>
            <w:tcW w:w="0" w:type="auto"/>
            <w:tcBorders>
              <w:top w:val="outset" w:sz="6" w:space="0" w:color="auto"/>
              <w:left w:val="outset" w:sz="6" w:space="0" w:color="auto"/>
              <w:bottom w:val="outset" w:sz="6" w:space="0" w:color="auto"/>
              <w:right w:val="outset" w:sz="6" w:space="0" w:color="auto"/>
            </w:tcBorders>
            <w:hideMark/>
          </w:tcPr>
          <w:p w14:paraId="11900B49"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15</w:t>
            </w:r>
          </w:p>
        </w:tc>
        <w:tc>
          <w:tcPr>
            <w:tcW w:w="0" w:type="auto"/>
            <w:tcBorders>
              <w:top w:val="outset" w:sz="6" w:space="0" w:color="auto"/>
              <w:left w:val="outset" w:sz="6" w:space="0" w:color="auto"/>
              <w:bottom w:val="outset" w:sz="6" w:space="0" w:color="auto"/>
              <w:right w:val="outset" w:sz="6" w:space="0" w:color="auto"/>
            </w:tcBorders>
            <w:hideMark/>
          </w:tcPr>
          <w:p w14:paraId="5E0DB008"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10,607</w:t>
            </w:r>
          </w:p>
        </w:tc>
        <w:tc>
          <w:tcPr>
            <w:tcW w:w="0" w:type="auto"/>
            <w:tcBorders>
              <w:top w:val="outset" w:sz="6" w:space="0" w:color="auto"/>
              <w:left w:val="outset" w:sz="6" w:space="0" w:color="auto"/>
              <w:bottom w:val="outset" w:sz="6" w:space="0" w:color="auto"/>
              <w:right w:val="outset" w:sz="6" w:space="0" w:color="auto"/>
            </w:tcBorders>
            <w:hideMark/>
          </w:tcPr>
          <w:p w14:paraId="4E270BCE"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4AFCC310"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5DD425DC"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2EBD5C17"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318298CD"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7A2CBE05" w14:textId="77777777" w:rsidR="004270DC" w:rsidRPr="00301B0F" w:rsidRDefault="004270DC" w:rsidP="000773D3">
            <w:pPr>
              <w:spacing w:before="60" w:after="60" w:line="312" w:lineRule="atLeast"/>
              <w:jc w:val="both"/>
              <w:rPr>
                <w:color w:val="000000" w:themeColor="text1"/>
                <w:lang w:val="en-GB" w:eastAsia="ro-MD"/>
              </w:rPr>
            </w:pPr>
            <w:r w:rsidRPr="00301B0F">
              <w:rPr>
                <w:color w:val="000000" w:themeColor="text1"/>
                <w:lang w:val="en-GB" w:eastAsia="ro-MD"/>
              </w:rPr>
              <w:t>N/A</w:t>
            </w:r>
          </w:p>
        </w:tc>
      </w:tr>
    </w:tbl>
    <w:p w14:paraId="31A65BA7" w14:textId="30F09FC5" w:rsidR="004270DC" w:rsidRPr="00301B0F" w:rsidRDefault="004270DC" w:rsidP="004270DC">
      <w:pPr>
        <w:tabs>
          <w:tab w:val="left" w:pos="567"/>
        </w:tabs>
        <w:spacing w:before="80"/>
        <w:jc w:val="both"/>
        <w:rPr>
          <w:color w:val="000000" w:themeColor="text1"/>
          <w:lang w:val="en-GB"/>
        </w:rPr>
      </w:pPr>
    </w:p>
    <w:p w14:paraId="6F4E6991" w14:textId="77777777" w:rsidR="0047035C" w:rsidRPr="00301B0F" w:rsidRDefault="0047035C" w:rsidP="004270DC">
      <w:pPr>
        <w:tabs>
          <w:tab w:val="left" w:pos="567"/>
        </w:tabs>
        <w:spacing w:before="80"/>
        <w:jc w:val="both"/>
        <w:rPr>
          <w:color w:val="000000" w:themeColor="text1"/>
          <w:lang w:val="en-GB"/>
        </w:rPr>
      </w:pPr>
    </w:p>
    <w:p w14:paraId="2C6F6F41" w14:textId="05644908" w:rsidR="008A1582" w:rsidRPr="00301B0F" w:rsidRDefault="00C71CDB" w:rsidP="00CB36D2">
      <w:pPr>
        <w:pStyle w:val="ListParagraph"/>
        <w:numPr>
          <w:ilvl w:val="2"/>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Table 2 is supplemented with a new column, with the following content</w:t>
      </w:r>
      <w:r w:rsidR="008A1582" w:rsidRPr="00301B0F">
        <w:rPr>
          <w:color w:val="000000" w:themeColor="text1"/>
          <w:lang w:val="en-GB"/>
        </w:rPr>
        <w:t>:</w:t>
      </w:r>
    </w:p>
    <w:p w14:paraId="4ADD340B" w14:textId="2E89A482" w:rsidR="0079290C" w:rsidRPr="00301B0F" w:rsidRDefault="0079290C" w:rsidP="0079290C">
      <w:pPr>
        <w:tabs>
          <w:tab w:val="left" w:pos="567"/>
        </w:tabs>
        <w:spacing w:before="80"/>
        <w:jc w:val="both"/>
        <w:rPr>
          <w:color w:val="000000" w:themeColor="text1"/>
          <w:lang w:val="en-GB"/>
        </w:rPr>
      </w:pPr>
    </w:p>
    <w:tbl>
      <w:tblPr>
        <w:tblW w:w="627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06"/>
        <w:gridCol w:w="2107"/>
        <w:gridCol w:w="2063"/>
      </w:tblGrid>
      <w:tr w:rsidR="000B2CBE" w:rsidRPr="00301B0F" w14:paraId="798DB836" w14:textId="77777777" w:rsidTr="0079290C">
        <w:trPr>
          <w:trHeight w:val="962"/>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2322651C" w14:textId="40D92955" w:rsidR="0079290C" w:rsidRPr="00301B0F" w:rsidRDefault="00C71CDB" w:rsidP="000773D3">
            <w:pPr>
              <w:spacing w:before="60" w:after="60" w:line="312" w:lineRule="atLeast"/>
              <w:jc w:val="both"/>
              <w:rPr>
                <w:b/>
                <w:bCs/>
                <w:color w:val="000000" w:themeColor="text1"/>
                <w:lang w:val="en-GB" w:eastAsia="ro-MD"/>
              </w:rPr>
            </w:pPr>
            <w:r w:rsidRPr="00301B0F">
              <w:rPr>
                <w:b/>
                <w:bCs/>
                <w:color w:val="000000" w:themeColor="text1"/>
                <w:lang w:val="en-GB" w:eastAsia="ro-MD"/>
              </w:rPr>
              <w:t>Volatility adjustments for securitisation positions that meet the criteria set out in paragraph 25, sub-paragraph 9), for which short-term credit assessments have been performed</w:t>
            </w:r>
          </w:p>
        </w:tc>
      </w:tr>
      <w:tr w:rsidR="00C71CDB" w:rsidRPr="00301B0F" w14:paraId="024ECF77" w14:textId="77777777" w:rsidTr="0079290C">
        <w:trPr>
          <w:trHeight w:val="1104"/>
          <w:jc w:val="center"/>
        </w:trPr>
        <w:tc>
          <w:tcPr>
            <w:tcW w:w="0" w:type="auto"/>
            <w:tcBorders>
              <w:top w:val="outset" w:sz="6" w:space="0" w:color="auto"/>
              <w:left w:val="outset" w:sz="6" w:space="0" w:color="auto"/>
              <w:bottom w:val="outset" w:sz="6" w:space="0" w:color="auto"/>
              <w:right w:val="outset" w:sz="6" w:space="0" w:color="auto"/>
            </w:tcBorders>
          </w:tcPr>
          <w:p w14:paraId="4CE0F60A" w14:textId="5C8DFE86"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20-day liquidation period (%)</w:t>
            </w:r>
          </w:p>
        </w:tc>
        <w:tc>
          <w:tcPr>
            <w:tcW w:w="0" w:type="auto"/>
            <w:tcBorders>
              <w:top w:val="outset" w:sz="6" w:space="0" w:color="auto"/>
              <w:left w:val="outset" w:sz="6" w:space="0" w:color="auto"/>
              <w:bottom w:val="outset" w:sz="6" w:space="0" w:color="auto"/>
              <w:right w:val="outset" w:sz="6" w:space="0" w:color="auto"/>
            </w:tcBorders>
          </w:tcPr>
          <w:p w14:paraId="6D4BB260" w14:textId="5B22E759"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10-day liquidation period (%)</w:t>
            </w:r>
          </w:p>
        </w:tc>
        <w:tc>
          <w:tcPr>
            <w:tcW w:w="0" w:type="auto"/>
            <w:tcBorders>
              <w:top w:val="outset" w:sz="6" w:space="0" w:color="auto"/>
              <w:left w:val="outset" w:sz="6" w:space="0" w:color="auto"/>
              <w:bottom w:val="outset" w:sz="6" w:space="0" w:color="auto"/>
              <w:right w:val="outset" w:sz="6" w:space="0" w:color="auto"/>
            </w:tcBorders>
          </w:tcPr>
          <w:p w14:paraId="0C06F76D" w14:textId="072704EE" w:rsidR="00C71CDB" w:rsidRPr="00301B0F" w:rsidRDefault="00C71CDB" w:rsidP="00C71CDB">
            <w:pPr>
              <w:spacing w:before="60" w:after="60" w:line="312" w:lineRule="atLeast"/>
              <w:jc w:val="both"/>
              <w:rPr>
                <w:b/>
                <w:bCs/>
                <w:color w:val="000000" w:themeColor="text1"/>
                <w:lang w:val="en-GB" w:eastAsia="ro-MD"/>
              </w:rPr>
            </w:pPr>
            <w:r w:rsidRPr="00301B0F">
              <w:rPr>
                <w:b/>
                <w:bCs/>
                <w:color w:val="000000" w:themeColor="text1"/>
                <w:lang w:val="en-GB" w:eastAsia="ro-MD"/>
              </w:rPr>
              <w:t>5-day liquidation period (%)</w:t>
            </w:r>
          </w:p>
        </w:tc>
      </w:tr>
      <w:tr w:rsidR="000B2CBE" w:rsidRPr="00301B0F" w14:paraId="7A585FAA" w14:textId="77777777" w:rsidTr="0079290C">
        <w:trPr>
          <w:trHeight w:val="395"/>
          <w:jc w:val="center"/>
        </w:trPr>
        <w:tc>
          <w:tcPr>
            <w:tcW w:w="0" w:type="auto"/>
            <w:tcBorders>
              <w:top w:val="outset" w:sz="6" w:space="0" w:color="auto"/>
              <w:left w:val="outset" w:sz="6" w:space="0" w:color="auto"/>
              <w:bottom w:val="outset" w:sz="6" w:space="0" w:color="auto"/>
              <w:right w:val="outset" w:sz="6" w:space="0" w:color="auto"/>
            </w:tcBorders>
          </w:tcPr>
          <w:p w14:paraId="2479CAEB" w14:textId="77777777" w:rsidR="0079290C" w:rsidRPr="00301B0F" w:rsidRDefault="0079290C" w:rsidP="000773D3">
            <w:pPr>
              <w:spacing w:before="60" w:after="60" w:line="312" w:lineRule="atLeast"/>
              <w:jc w:val="both"/>
              <w:rPr>
                <w:color w:val="000000" w:themeColor="text1"/>
                <w:lang w:val="en-GB" w:eastAsia="ro-MD"/>
              </w:rPr>
            </w:pPr>
            <w:r w:rsidRPr="00301B0F">
              <w:rPr>
                <w:color w:val="000000" w:themeColor="text1"/>
                <w:lang w:val="en-GB" w:eastAsia="ro-MD"/>
              </w:rPr>
              <w:lastRenderedPageBreak/>
              <w:t>2,828</w:t>
            </w:r>
          </w:p>
        </w:tc>
        <w:tc>
          <w:tcPr>
            <w:tcW w:w="0" w:type="auto"/>
            <w:tcBorders>
              <w:top w:val="outset" w:sz="6" w:space="0" w:color="auto"/>
              <w:left w:val="outset" w:sz="6" w:space="0" w:color="auto"/>
              <w:bottom w:val="outset" w:sz="6" w:space="0" w:color="auto"/>
              <w:right w:val="outset" w:sz="6" w:space="0" w:color="auto"/>
            </w:tcBorders>
          </w:tcPr>
          <w:p w14:paraId="6F6A662C" w14:textId="77777777" w:rsidR="0079290C" w:rsidRPr="00301B0F" w:rsidRDefault="0079290C" w:rsidP="000773D3">
            <w:pPr>
              <w:spacing w:before="60" w:after="60" w:line="312" w:lineRule="atLeast"/>
              <w:jc w:val="both"/>
              <w:rPr>
                <w:color w:val="000000" w:themeColor="text1"/>
                <w:lang w:val="en-GB" w:eastAsia="ro-MD"/>
              </w:rPr>
            </w:pPr>
            <w:r w:rsidRPr="00301B0F">
              <w:rPr>
                <w:color w:val="000000" w:themeColor="text1"/>
                <w:lang w:val="en-GB" w:eastAsia="ro-MD"/>
              </w:rPr>
              <w:t>2</w:t>
            </w:r>
          </w:p>
        </w:tc>
        <w:tc>
          <w:tcPr>
            <w:tcW w:w="0" w:type="auto"/>
            <w:tcBorders>
              <w:top w:val="outset" w:sz="6" w:space="0" w:color="auto"/>
              <w:left w:val="outset" w:sz="6" w:space="0" w:color="auto"/>
              <w:bottom w:val="outset" w:sz="6" w:space="0" w:color="auto"/>
              <w:right w:val="outset" w:sz="6" w:space="0" w:color="auto"/>
            </w:tcBorders>
          </w:tcPr>
          <w:p w14:paraId="5FDE9DCB" w14:textId="77777777" w:rsidR="0079290C" w:rsidRPr="00301B0F" w:rsidRDefault="0079290C" w:rsidP="000773D3">
            <w:pPr>
              <w:spacing w:before="60" w:after="60" w:line="312" w:lineRule="atLeast"/>
              <w:jc w:val="both"/>
              <w:rPr>
                <w:color w:val="000000" w:themeColor="text1"/>
                <w:lang w:val="en-GB" w:eastAsia="ro-MD"/>
              </w:rPr>
            </w:pPr>
            <w:r w:rsidRPr="00301B0F">
              <w:rPr>
                <w:color w:val="000000" w:themeColor="text1"/>
                <w:lang w:val="en-GB" w:eastAsia="ro-MD"/>
              </w:rPr>
              <w:t>1,414</w:t>
            </w:r>
          </w:p>
        </w:tc>
      </w:tr>
      <w:tr w:rsidR="0079290C" w:rsidRPr="00301B0F" w14:paraId="7B977511" w14:textId="77777777" w:rsidTr="0079290C">
        <w:trPr>
          <w:trHeight w:val="459"/>
          <w:jc w:val="center"/>
        </w:trPr>
        <w:tc>
          <w:tcPr>
            <w:tcW w:w="0" w:type="auto"/>
            <w:tcBorders>
              <w:top w:val="outset" w:sz="6" w:space="0" w:color="auto"/>
              <w:left w:val="outset" w:sz="6" w:space="0" w:color="auto"/>
              <w:bottom w:val="outset" w:sz="6" w:space="0" w:color="auto"/>
              <w:right w:val="outset" w:sz="6" w:space="0" w:color="auto"/>
            </w:tcBorders>
          </w:tcPr>
          <w:p w14:paraId="2B5B04AE" w14:textId="77777777" w:rsidR="0079290C" w:rsidRPr="00301B0F" w:rsidRDefault="0079290C" w:rsidP="000773D3">
            <w:pPr>
              <w:spacing w:before="60" w:after="60" w:line="312" w:lineRule="atLeast"/>
              <w:jc w:val="both"/>
              <w:rPr>
                <w:color w:val="000000" w:themeColor="text1"/>
                <w:lang w:val="en-GB" w:eastAsia="ro-MD"/>
              </w:rPr>
            </w:pPr>
            <w:r w:rsidRPr="00301B0F">
              <w:rPr>
                <w:color w:val="000000" w:themeColor="text1"/>
                <w:lang w:val="en-GB" w:eastAsia="ro-MD"/>
              </w:rPr>
              <w:t>5,657</w:t>
            </w:r>
          </w:p>
        </w:tc>
        <w:tc>
          <w:tcPr>
            <w:tcW w:w="0" w:type="auto"/>
            <w:tcBorders>
              <w:top w:val="outset" w:sz="6" w:space="0" w:color="auto"/>
              <w:left w:val="outset" w:sz="6" w:space="0" w:color="auto"/>
              <w:bottom w:val="outset" w:sz="6" w:space="0" w:color="auto"/>
              <w:right w:val="outset" w:sz="6" w:space="0" w:color="auto"/>
            </w:tcBorders>
          </w:tcPr>
          <w:p w14:paraId="5DCF4DDE" w14:textId="77777777" w:rsidR="0079290C" w:rsidRPr="00301B0F" w:rsidRDefault="0079290C" w:rsidP="000773D3">
            <w:pPr>
              <w:spacing w:before="60" w:after="60" w:line="312" w:lineRule="atLeast"/>
              <w:jc w:val="both"/>
              <w:rPr>
                <w:color w:val="000000" w:themeColor="text1"/>
                <w:lang w:val="en-GB" w:eastAsia="ro-MD"/>
              </w:rPr>
            </w:pPr>
            <w:r w:rsidRPr="00301B0F">
              <w:rPr>
                <w:color w:val="000000" w:themeColor="text1"/>
                <w:lang w:val="en-GB" w:eastAsia="ro-MD"/>
              </w:rPr>
              <w:t>4</w:t>
            </w:r>
          </w:p>
        </w:tc>
        <w:tc>
          <w:tcPr>
            <w:tcW w:w="0" w:type="auto"/>
            <w:tcBorders>
              <w:top w:val="outset" w:sz="6" w:space="0" w:color="auto"/>
              <w:left w:val="outset" w:sz="6" w:space="0" w:color="auto"/>
              <w:bottom w:val="outset" w:sz="6" w:space="0" w:color="auto"/>
              <w:right w:val="outset" w:sz="6" w:space="0" w:color="auto"/>
            </w:tcBorders>
          </w:tcPr>
          <w:p w14:paraId="74EB2280" w14:textId="77777777" w:rsidR="0079290C" w:rsidRPr="00301B0F" w:rsidRDefault="0079290C" w:rsidP="000773D3">
            <w:pPr>
              <w:spacing w:before="60" w:after="60" w:line="312" w:lineRule="atLeast"/>
              <w:jc w:val="both"/>
              <w:rPr>
                <w:color w:val="000000" w:themeColor="text1"/>
                <w:lang w:val="en-GB" w:eastAsia="ro-MD"/>
              </w:rPr>
            </w:pPr>
            <w:r w:rsidRPr="00301B0F">
              <w:rPr>
                <w:color w:val="000000" w:themeColor="text1"/>
                <w:lang w:val="en-GB" w:eastAsia="ro-MD"/>
              </w:rPr>
              <w:t>2,828</w:t>
            </w:r>
          </w:p>
        </w:tc>
      </w:tr>
    </w:tbl>
    <w:p w14:paraId="21C4E9BE" w14:textId="7F3EFD55" w:rsidR="0079290C" w:rsidRPr="00301B0F" w:rsidRDefault="0079290C" w:rsidP="0079290C">
      <w:pPr>
        <w:tabs>
          <w:tab w:val="left" w:pos="567"/>
        </w:tabs>
        <w:spacing w:before="80"/>
        <w:jc w:val="both"/>
        <w:rPr>
          <w:color w:val="000000" w:themeColor="text1"/>
          <w:lang w:val="en-GB"/>
        </w:rPr>
      </w:pPr>
    </w:p>
    <w:p w14:paraId="38D1C249" w14:textId="77777777" w:rsidR="0047035C" w:rsidRPr="00301B0F" w:rsidRDefault="0047035C" w:rsidP="0079290C">
      <w:pPr>
        <w:tabs>
          <w:tab w:val="left" w:pos="567"/>
        </w:tabs>
        <w:spacing w:before="80"/>
        <w:jc w:val="both"/>
        <w:rPr>
          <w:color w:val="000000" w:themeColor="text1"/>
          <w:lang w:val="en-GB"/>
        </w:rPr>
      </w:pPr>
    </w:p>
    <w:p w14:paraId="7F9FFCCD" w14:textId="63DBB537" w:rsidR="008A1582" w:rsidRPr="00301B0F" w:rsidRDefault="00C71CDB" w:rsidP="00CB36D2">
      <w:pPr>
        <w:pStyle w:val="ListParagraph"/>
        <w:numPr>
          <w:ilvl w:val="2"/>
          <w:numId w:val="27"/>
        </w:numPr>
        <w:tabs>
          <w:tab w:val="left" w:pos="0"/>
        </w:tabs>
        <w:spacing w:before="80"/>
        <w:ind w:left="0" w:firstLine="567"/>
        <w:contextualSpacing w:val="0"/>
        <w:jc w:val="both"/>
        <w:rPr>
          <w:color w:val="000000" w:themeColor="text1"/>
          <w:lang w:val="en-GB"/>
        </w:rPr>
      </w:pPr>
      <w:r w:rsidRPr="00301B0F">
        <w:rPr>
          <w:color w:val="000000" w:themeColor="text1"/>
          <w:lang w:val="en-GB"/>
        </w:rPr>
        <w:t>Table 3 shall have the following contents</w:t>
      </w:r>
      <w:r w:rsidR="008A1582" w:rsidRPr="00301B0F">
        <w:rPr>
          <w:color w:val="000000" w:themeColor="text1"/>
          <w:lang w:val="en-GB"/>
        </w:rPr>
        <w:t>:</w:t>
      </w:r>
    </w:p>
    <w:p w14:paraId="0C8402A4" w14:textId="1F7AEF53" w:rsidR="00BB2430" w:rsidRPr="00301B0F" w:rsidRDefault="00BB2430" w:rsidP="00BB2430">
      <w:pPr>
        <w:tabs>
          <w:tab w:val="left" w:pos="567"/>
        </w:tabs>
        <w:spacing w:before="80"/>
        <w:jc w:val="both"/>
        <w:rPr>
          <w:color w:val="000000" w:themeColor="text1"/>
          <w:lang w:val="en-GB"/>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190"/>
        <w:gridCol w:w="2869"/>
        <w:gridCol w:w="2869"/>
        <w:gridCol w:w="2761"/>
      </w:tblGrid>
      <w:tr w:rsidR="000B2CBE" w:rsidRPr="00301B0F" w14:paraId="24D1C5A5" w14:textId="77777777" w:rsidTr="00C71CDB">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3F660D58" w14:textId="340A6EE0" w:rsidR="00BB2430" w:rsidRPr="00301B0F" w:rsidRDefault="00C71CDB" w:rsidP="0047035C">
            <w:pPr>
              <w:spacing w:after="120"/>
              <w:jc w:val="right"/>
              <w:rPr>
                <w:color w:val="000000" w:themeColor="text1"/>
                <w:lang w:val="en-GB" w:eastAsia="ro-MD"/>
              </w:rPr>
            </w:pPr>
            <w:r w:rsidRPr="00301B0F">
              <w:rPr>
                <w:b/>
                <w:bCs/>
                <w:color w:val="000000" w:themeColor="text1"/>
                <w:lang w:val="en-GB" w:eastAsia="ro-MD"/>
              </w:rPr>
              <w:t>“</w:t>
            </w:r>
            <w:r w:rsidR="00BB2430" w:rsidRPr="00301B0F">
              <w:rPr>
                <w:b/>
                <w:bCs/>
                <w:color w:val="000000" w:themeColor="text1"/>
                <w:lang w:val="en-GB" w:eastAsia="ro-MD"/>
              </w:rPr>
              <w:t>Tab</w:t>
            </w:r>
            <w:r w:rsidRPr="00301B0F">
              <w:rPr>
                <w:b/>
                <w:bCs/>
                <w:color w:val="000000" w:themeColor="text1"/>
                <w:lang w:val="en-GB" w:eastAsia="ro-MD"/>
              </w:rPr>
              <w:t>le 3</w:t>
            </w:r>
          </w:p>
          <w:p w14:paraId="2805FC8D" w14:textId="676B45ED" w:rsidR="00C71CDB" w:rsidRPr="00301B0F" w:rsidRDefault="00C71CDB" w:rsidP="00C71CDB">
            <w:pPr>
              <w:ind w:firstLine="567"/>
              <w:jc w:val="center"/>
              <w:rPr>
                <w:b/>
                <w:bCs/>
                <w:color w:val="000000" w:themeColor="text1"/>
                <w:lang w:val="en-GB" w:eastAsia="ro-MD"/>
              </w:rPr>
            </w:pPr>
            <w:r w:rsidRPr="00301B0F">
              <w:rPr>
                <w:b/>
                <w:bCs/>
                <w:color w:val="000000" w:themeColor="text1"/>
                <w:lang w:val="en-GB" w:eastAsia="ro-MD"/>
              </w:rPr>
              <w:t>Other collateral or exposure types</w:t>
            </w:r>
          </w:p>
          <w:p w14:paraId="676B9220" w14:textId="19668378" w:rsidR="00BB2430" w:rsidRPr="00301B0F" w:rsidRDefault="00BB2430" w:rsidP="00C71CDB">
            <w:pPr>
              <w:jc w:val="both"/>
              <w:rPr>
                <w:color w:val="000000" w:themeColor="text1"/>
                <w:lang w:val="en-GB" w:eastAsia="ro-MD"/>
              </w:rPr>
            </w:pPr>
          </w:p>
        </w:tc>
      </w:tr>
      <w:tr w:rsidR="00C71CDB" w:rsidRPr="00301B0F" w14:paraId="2076267B" w14:textId="77777777" w:rsidTr="00C71CD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9813A0" w14:textId="4C06D991" w:rsidR="00C71CDB" w:rsidRPr="00301B0F" w:rsidRDefault="00C71CDB" w:rsidP="00C71CDB">
            <w:pPr>
              <w:jc w:val="center"/>
              <w:rPr>
                <w:b/>
                <w:bCs/>
                <w:color w:val="000000" w:themeColor="text1"/>
                <w:lang w:val="en-GB" w:eastAsia="ro-MD"/>
              </w:rPr>
            </w:pPr>
            <w:r w:rsidRPr="00301B0F">
              <w:rPr>
                <w:b/>
                <w:bCs/>
                <w:color w:val="000000" w:themeColor="text1"/>
                <w:lang w:val="en-GB" w:eastAsia="ro-MD"/>
              </w:rPr>
              <w:t>Types of collateral</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4B359BF1" w14:textId="3F0CE0D3" w:rsidR="00C71CDB" w:rsidRPr="00301B0F" w:rsidRDefault="00C71CDB" w:rsidP="00C71CDB">
            <w:pPr>
              <w:jc w:val="center"/>
              <w:rPr>
                <w:b/>
                <w:bCs/>
                <w:color w:val="000000" w:themeColor="text1"/>
                <w:lang w:val="en-GB" w:eastAsia="ro-MD"/>
              </w:rPr>
            </w:pPr>
            <w:r w:rsidRPr="00301B0F">
              <w:rPr>
                <w:b/>
                <w:bCs/>
                <w:color w:val="000000" w:themeColor="text1"/>
                <w:lang w:val="en-GB" w:eastAsia="ro-MD"/>
              </w:rPr>
              <w:t>20-day liquidation period (%)</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62AC5CF1" w14:textId="358217BB" w:rsidR="00C71CDB" w:rsidRPr="00301B0F" w:rsidRDefault="00C71CDB" w:rsidP="00C71CDB">
            <w:pPr>
              <w:jc w:val="center"/>
              <w:rPr>
                <w:b/>
                <w:bCs/>
                <w:color w:val="000000" w:themeColor="text1"/>
                <w:lang w:val="en-GB" w:eastAsia="ro-MD"/>
              </w:rPr>
            </w:pPr>
            <w:r w:rsidRPr="00301B0F">
              <w:rPr>
                <w:b/>
                <w:bCs/>
                <w:color w:val="000000" w:themeColor="text1"/>
                <w:lang w:val="en-GB" w:eastAsia="ro-MD"/>
              </w:rPr>
              <w:t>10-day liquidation period (%)</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09767514" w14:textId="425C02AB" w:rsidR="00C71CDB" w:rsidRPr="00301B0F" w:rsidRDefault="00C71CDB" w:rsidP="00C71CDB">
            <w:pPr>
              <w:jc w:val="center"/>
              <w:rPr>
                <w:b/>
                <w:bCs/>
                <w:color w:val="000000" w:themeColor="text1"/>
                <w:lang w:val="en-GB" w:eastAsia="ro-MD"/>
              </w:rPr>
            </w:pPr>
            <w:r w:rsidRPr="00301B0F">
              <w:rPr>
                <w:b/>
                <w:bCs/>
                <w:color w:val="000000" w:themeColor="text1"/>
                <w:lang w:val="en-GB" w:eastAsia="ro-MD"/>
              </w:rPr>
              <w:t>5-day liquidation period (%)</w:t>
            </w:r>
          </w:p>
        </w:tc>
      </w:tr>
      <w:tr w:rsidR="00C71CDB" w:rsidRPr="00301B0F" w14:paraId="13392177" w14:textId="77777777" w:rsidTr="00C71C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F0895" w14:textId="75D5672E" w:rsidR="00C71CDB" w:rsidRPr="00301B0F" w:rsidRDefault="00C71CDB" w:rsidP="00C71CDB">
            <w:pPr>
              <w:rPr>
                <w:color w:val="000000" w:themeColor="text1"/>
                <w:lang w:val="en-GB" w:eastAsia="ro-MD"/>
              </w:rPr>
            </w:pPr>
            <w:r w:rsidRPr="00301B0F">
              <w:rPr>
                <w:color w:val="000000" w:themeColor="text1"/>
                <w:lang w:val="en-GB" w:eastAsia="ro-MD"/>
              </w:rPr>
              <w:t>Main index equities, main index convertible bonds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93C68" w14:textId="77777777" w:rsidR="00C71CDB" w:rsidRPr="00301B0F" w:rsidRDefault="00C71CDB" w:rsidP="00C71CDB">
            <w:pPr>
              <w:jc w:val="center"/>
              <w:rPr>
                <w:color w:val="000000" w:themeColor="text1"/>
                <w:lang w:val="en-GB" w:eastAsia="ro-MD"/>
              </w:rPr>
            </w:pPr>
            <w:r w:rsidRPr="00301B0F">
              <w:rPr>
                <w:color w:val="000000" w:themeColor="text1"/>
                <w:lang w:val="en-GB" w:eastAsia="ro-MD"/>
              </w:rPr>
              <w:t>28,284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F3A6D" w14:textId="77777777" w:rsidR="00C71CDB" w:rsidRPr="00301B0F" w:rsidRDefault="00C71CDB" w:rsidP="00C71CDB">
            <w:pPr>
              <w:jc w:val="center"/>
              <w:rPr>
                <w:color w:val="000000" w:themeColor="text1"/>
                <w:lang w:val="en-GB" w:eastAsia="ro-MD"/>
              </w:rPr>
            </w:pPr>
            <w:r w:rsidRPr="00301B0F">
              <w:rPr>
                <w:color w:val="000000" w:themeColor="text1"/>
                <w:lang w:val="en-GB"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11681" w14:textId="77777777" w:rsidR="00C71CDB" w:rsidRPr="00301B0F" w:rsidRDefault="00C71CDB" w:rsidP="00C71CDB">
            <w:pPr>
              <w:jc w:val="center"/>
              <w:rPr>
                <w:color w:val="000000" w:themeColor="text1"/>
                <w:lang w:val="en-GB" w:eastAsia="ro-MD"/>
              </w:rPr>
            </w:pPr>
            <w:r w:rsidRPr="00301B0F">
              <w:rPr>
                <w:color w:val="000000" w:themeColor="text1"/>
                <w:lang w:val="en-GB" w:eastAsia="ro-MD"/>
              </w:rPr>
              <w:t>14,142</w:t>
            </w:r>
          </w:p>
        </w:tc>
      </w:tr>
      <w:tr w:rsidR="00C71CDB" w:rsidRPr="00301B0F" w14:paraId="508B53AE" w14:textId="77777777" w:rsidTr="00C71C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59A77" w14:textId="4BC724A0" w:rsidR="00C71CDB" w:rsidRPr="00301B0F" w:rsidRDefault="00C71CDB" w:rsidP="00C71CDB">
            <w:pPr>
              <w:rPr>
                <w:color w:val="000000" w:themeColor="text1"/>
                <w:lang w:val="en-GB" w:eastAsia="ro-MD"/>
              </w:rPr>
            </w:pPr>
            <w:r w:rsidRPr="00301B0F">
              <w:rPr>
                <w:color w:val="000000" w:themeColor="text1"/>
                <w:lang w:val="en-GB" w:eastAsia="ro-MD"/>
              </w:rPr>
              <w:t>Other equities or convertible bonds listed on a recognised exchange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37E9A" w14:textId="77777777" w:rsidR="00C71CDB" w:rsidRPr="00301B0F" w:rsidRDefault="00C71CDB" w:rsidP="00C71CDB">
            <w:pPr>
              <w:jc w:val="center"/>
              <w:rPr>
                <w:color w:val="000000" w:themeColor="text1"/>
                <w:lang w:val="en-GB" w:eastAsia="ro-MD"/>
              </w:rPr>
            </w:pPr>
            <w:r w:rsidRPr="00301B0F">
              <w:rPr>
                <w:color w:val="000000" w:themeColor="text1"/>
                <w:lang w:val="en-GB" w:eastAsia="ro-MD"/>
              </w:rPr>
              <w:t>42,426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CBCB4" w14:textId="77777777" w:rsidR="00C71CDB" w:rsidRPr="00301B0F" w:rsidRDefault="00C71CDB" w:rsidP="00C71CDB">
            <w:pPr>
              <w:jc w:val="center"/>
              <w:rPr>
                <w:color w:val="000000" w:themeColor="text1"/>
                <w:lang w:val="en-GB" w:eastAsia="ro-MD"/>
              </w:rPr>
            </w:pPr>
            <w:r w:rsidRPr="00301B0F">
              <w:rPr>
                <w:color w:val="000000" w:themeColor="text1"/>
                <w:lang w:val="en-GB" w:eastAsia="ro-MD"/>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0084D" w14:textId="77777777" w:rsidR="00C71CDB" w:rsidRPr="00301B0F" w:rsidRDefault="00C71CDB" w:rsidP="00C71CDB">
            <w:pPr>
              <w:jc w:val="center"/>
              <w:rPr>
                <w:color w:val="000000" w:themeColor="text1"/>
                <w:lang w:val="en-GB" w:eastAsia="ro-MD"/>
              </w:rPr>
            </w:pPr>
            <w:r w:rsidRPr="00301B0F">
              <w:rPr>
                <w:color w:val="000000" w:themeColor="text1"/>
                <w:lang w:val="en-GB" w:eastAsia="ro-MD"/>
              </w:rPr>
              <w:t>21,213</w:t>
            </w:r>
          </w:p>
        </w:tc>
      </w:tr>
      <w:tr w:rsidR="00C71CDB" w:rsidRPr="00301B0F" w14:paraId="434F55BE" w14:textId="77777777" w:rsidTr="00C71C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60EA9" w14:textId="4FB9E191" w:rsidR="00C71CDB" w:rsidRPr="00301B0F" w:rsidRDefault="00C71CDB" w:rsidP="00C71CDB">
            <w:pPr>
              <w:rPr>
                <w:color w:val="000000" w:themeColor="text1"/>
                <w:lang w:val="en-GB" w:eastAsia="ro-MD"/>
              </w:rPr>
            </w:pPr>
            <w:r w:rsidRPr="00301B0F">
              <w:rPr>
                <w:color w:val="000000" w:themeColor="text1"/>
                <w:lang w:val="en-GB" w:eastAsia="ro-MD"/>
              </w:rPr>
              <w:t>Cash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D11B5" w14:textId="77777777" w:rsidR="00C71CDB" w:rsidRPr="00301B0F" w:rsidRDefault="00C71CDB" w:rsidP="00C71CDB">
            <w:pPr>
              <w:jc w:val="center"/>
              <w:rPr>
                <w:color w:val="000000" w:themeColor="text1"/>
                <w:lang w:val="en-GB" w:eastAsia="ro-MD"/>
              </w:rPr>
            </w:pPr>
            <w:r w:rsidRPr="00301B0F">
              <w:rPr>
                <w:color w:val="000000" w:themeColor="text1"/>
                <w:lang w:val="en-GB" w:eastAsia="ro-MD"/>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D1BF4" w14:textId="77777777" w:rsidR="00C71CDB" w:rsidRPr="00301B0F" w:rsidRDefault="00C71CDB" w:rsidP="00C71CDB">
            <w:pPr>
              <w:jc w:val="center"/>
              <w:rPr>
                <w:color w:val="000000" w:themeColor="text1"/>
                <w:lang w:val="en-GB" w:eastAsia="ro-MD"/>
              </w:rPr>
            </w:pPr>
            <w:r w:rsidRPr="00301B0F">
              <w:rPr>
                <w:color w:val="000000" w:themeColor="text1"/>
                <w:lang w:val="en-GB" w:eastAsia="ro-MD"/>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63942" w14:textId="77777777" w:rsidR="00C71CDB" w:rsidRPr="00301B0F" w:rsidRDefault="00C71CDB" w:rsidP="00C71CDB">
            <w:pPr>
              <w:jc w:val="center"/>
              <w:rPr>
                <w:color w:val="000000" w:themeColor="text1"/>
                <w:lang w:val="en-GB" w:eastAsia="ro-MD"/>
              </w:rPr>
            </w:pPr>
            <w:r w:rsidRPr="00301B0F">
              <w:rPr>
                <w:color w:val="000000" w:themeColor="text1"/>
                <w:lang w:val="en-GB" w:eastAsia="ro-MD"/>
              </w:rPr>
              <w:t>0</w:t>
            </w:r>
          </w:p>
        </w:tc>
      </w:tr>
      <w:tr w:rsidR="00C71CDB" w:rsidRPr="00301B0F" w14:paraId="664B54CB" w14:textId="77777777" w:rsidTr="00C71C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93FC6" w14:textId="4B74E999" w:rsidR="00C71CDB" w:rsidRPr="00301B0F" w:rsidRDefault="00C71CDB" w:rsidP="00C71CDB">
            <w:pPr>
              <w:rPr>
                <w:color w:val="000000" w:themeColor="text1"/>
                <w:lang w:val="en-GB" w:eastAsia="ro-MD"/>
              </w:rPr>
            </w:pPr>
            <w:r w:rsidRPr="00301B0F">
              <w:rPr>
                <w:color w:val="000000" w:themeColor="text1"/>
                <w:lang w:val="en-GB" w:eastAsia="ro-MD"/>
              </w:rPr>
              <w:t>Gold bullion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08264" w14:textId="77777777" w:rsidR="00C71CDB" w:rsidRPr="00301B0F" w:rsidRDefault="00C71CDB" w:rsidP="00C71CDB">
            <w:pPr>
              <w:jc w:val="center"/>
              <w:rPr>
                <w:color w:val="000000" w:themeColor="text1"/>
                <w:lang w:val="en-GB" w:eastAsia="ro-MD"/>
              </w:rPr>
            </w:pPr>
            <w:r w:rsidRPr="00301B0F">
              <w:rPr>
                <w:color w:val="000000" w:themeColor="text1"/>
                <w:lang w:val="en-GB" w:eastAsia="ro-MD"/>
              </w:rPr>
              <w:t>28,284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73303" w14:textId="77777777" w:rsidR="00C71CDB" w:rsidRPr="00301B0F" w:rsidRDefault="00C71CDB" w:rsidP="00C71CDB">
            <w:pPr>
              <w:jc w:val="center"/>
              <w:rPr>
                <w:color w:val="000000" w:themeColor="text1"/>
                <w:lang w:val="en-GB" w:eastAsia="ro-MD"/>
              </w:rPr>
            </w:pPr>
            <w:r w:rsidRPr="00301B0F">
              <w:rPr>
                <w:color w:val="000000" w:themeColor="text1"/>
                <w:lang w:val="en-GB"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CB728" w14:textId="77777777" w:rsidR="00C71CDB" w:rsidRPr="00301B0F" w:rsidRDefault="00C71CDB" w:rsidP="00C71CDB">
            <w:pPr>
              <w:jc w:val="center"/>
              <w:rPr>
                <w:color w:val="000000" w:themeColor="text1"/>
                <w:lang w:val="en-GB" w:eastAsia="ro-MD"/>
              </w:rPr>
            </w:pPr>
            <w:r w:rsidRPr="00301B0F">
              <w:rPr>
                <w:color w:val="000000" w:themeColor="text1"/>
                <w:lang w:val="en-GB" w:eastAsia="ro-MD"/>
              </w:rPr>
              <w:t>14,142</w:t>
            </w:r>
          </w:p>
        </w:tc>
      </w:tr>
    </w:tbl>
    <w:p w14:paraId="7BB686EE" w14:textId="79EA0ABA" w:rsidR="00BB2430" w:rsidRPr="00301B0F" w:rsidRDefault="00BB2430" w:rsidP="00BB2430">
      <w:pPr>
        <w:tabs>
          <w:tab w:val="left" w:pos="567"/>
        </w:tabs>
        <w:spacing w:before="80"/>
        <w:jc w:val="both"/>
        <w:rPr>
          <w:color w:val="000000" w:themeColor="text1"/>
          <w:lang w:val="en-GB"/>
        </w:rPr>
      </w:pPr>
      <w:r w:rsidRPr="00301B0F">
        <w:rPr>
          <w:color w:val="000000" w:themeColor="text1"/>
          <w:lang w:val="en-GB"/>
        </w:rPr>
        <w:t xml:space="preserve"> </w:t>
      </w:r>
    </w:p>
    <w:p w14:paraId="4C8727E8" w14:textId="5DAF5BA3" w:rsidR="008A1582" w:rsidRPr="00301B0F" w:rsidRDefault="00C71CDB" w:rsidP="00CB36D2">
      <w:pPr>
        <w:pStyle w:val="ListParagraph"/>
        <w:numPr>
          <w:ilvl w:val="2"/>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The title of Table 4 shall be supplemented with the following text “</w:t>
      </w:r>
      <w:r w:rsidR="008A1582" w:rsidRPr="00301B0F">
        <w:rPr>
          <w:b/>
          <w:bCs/>
          <w:color w:val="000000" w:themeColor="text1"/>
          <w:lang w:val="en-GB" w:eastAsia="ro-MD"/>
        </w:rPr>
        <w:t>(</w:t>
      </w:r>
      <w:proofErr w:type="spellStart"/>
      <w:r w:rsidR="008A1582" w:rsidRPr="00301B0F">
        <w:rPr>
          <w:b/>
          <w:bCs/>
          <w:color w:val="000000" w:themeColor="text1"/>
          <w:lang w:val="en-GB" w:eastAsia="ro-MD"/>
        </w:rPr>
        <w:t>H</w:t>
      </w:r>
      <w:r w:rsidR="008A1582" w:rsidRPr="00301B0F">
        <w:rPr>
          <w:b/>
          <w:bCs/>
          <w:color w:val="000000" w:themeColor="text1"/>
          <w:vertAlign w:val="subscript"/>
          <w:lang w:val="en-GB" w:eastAsia="ro-MD"/>
        </w:rPr>
        <w:t>fx</w:t>
      </w:r>
      <w:proofErr w:type="spellEnd"/>
      <w:r w:rsidR="008A1582" w:rsidRPr="00301B0F">
        <w:rPr>
          <w:b/>
          <w:bCs/>
          <w:color w:val="000000" w:themeColor="text1"/>
          <w:lang w:val="en-GB" w:eastAsia="ro-MD"/>
        </w:rPr>
        <w:t>)</w:t>
      </w:r>
      <w:r w:rsidR="008A1582" w:rsidRPr="00301B0F">
        <w:rPr>
          <w:color w:val="000000" w:themeColor="text1"/>
          <w:lang w:val="en-GB" w:eastAsia="ro-MD"/>
        </w:rPr>
        <w:t>”.</w:t>
      </w:r>
    </w:p>
    <w:p w14:paraId="0BB88D20" w14:textId="1329D0F9" w:rsidR="0091180D" w:rsidRPr="00301B0F" w:rsidRDefault="00C71CDB"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 96</w:t>
      </w:r>
      <w:r w:rsidRPr="00301B0F">
        <w:rPr>
          <w:color w:val="000000" w:themeColor="text1"/>
          <w:vertAlign w:val="superscript"/>
          <w:lang w:val="en-GB"/>
        </w:rPr>
        <w:t>1</w:t>
      </w:r>
      <w:r w:rsidRPr="00301B0F">
        <w:rPr>
          <w:color w:val="000000" w:themeColor="text1"/>
          <w:lang w:val="en-GB"/>
        </w:rPr>
        <w:t xml:space="preserve"> shall be added with the following text</w:t>
      </w:r>
      <w:r w:rsidR="00483623" w:rsidRPr="00301B0F">
        <w:rPr>
          <w:color w:val="000000" w:themeColor="text1"/>
          <w:lang w:val="en-GB"/>
        </w:rPr>
        <w:t>:</w:t>
      </w:r>
    </w:p>
    <w:p w14:paraId="7023DDC0" w14:textId="53FD63B1" w:rsidR="00483623" w:rsidRPr="00301B0F" w:rsidRDefault="00C71CDB" w:rsidP="00483623">
      <w:pPr>
        <w:tabs>
          <w:tab w:val="left" w:pos="567"/>
        </w:tabs>
        <w:jc w:val="both"/>
        <w:rPr>
          <w:color w:val="000000" w:themeColor="text1"/>
          <w:lang w:val="en-GB"/>
        </w:rPr>
      </w:pPr>
      <w:r w:rsidRPr="00301B0F">
        <w:rPr>
          <w:color w:val="000000" w:themeColor="text1"/>
          <w:lang w:val="en-GB"/>
        </w:rPr>
        <w:t>“</w:t>
      </w:r>
      <w:r w:rsidRPr="00301B0F">
        <w:rPr>
          <w:b/>
          <w:bCs/>
          <w:color w:val="000000" w:themeColor="text1"/>
          <w:lang w:val="en-GB" w:eastAsia="ro-MD"/>
        </w:rPr>
        <w:t>96</w:t>
      </w:r>
      <w:r w:rsidRPr="00301B0F">
        <w:rPr>
          <w:b/>
          <w:bCs/>
          <w:color w:val="000000" w:themeColor="text1"/>
          <w:vertAlign w:val="superscript"/>
          <w:lang w:val="en-GB" w:eastAsia="ro-MD"/>
        </w:rPr>
        <w:t>1</w:t>
      </w:r>
      <w:r w:rsidRPr="00301B0F">
        <w:rPr>
          <w:b/>
          <w:bCs/>
          <w:color w:val="000000" w:themeColor="text1"/>
          <w:lang w:val="en-GB" w:eastAsia="ro-MD"/>
        </w:rPr>
        <w:t>.</w:t>
      </w:r>
      <w:r w:rsidRPr="00301B0F">
        <w:rPr>
          <w:color w:val="000000" w:themeColor="text1"/>
          <w:lang w:val="en-GB" w:eastAsia="ro-MD"/>
        </w:rPr>
        <w:t xml:space="preserve"> If the bank has a transaction or a netting set that meets the criteria regarding the exposure value for netting sets subject to a margin agreement established in accordance with the regulations of the National Bank of Moldova regarding the treatment of counterparty credit risk, the minimum holding period must be aligned with the margin risk period that would apply in accordance with those criteria</w:t>
      </w:r>
      <w:r w:rsidR="00483623" w:rsidRPr="00301B0F">
        <w:rPr>
          <w:color w:val="000000" w:themeColor="text1"/>
          <w:lang w:val="en-GB" w:eastAsia="ro-MD"/>
        </w:rPr>
        <w:t>.”.</w:t>
      </w:r>
    </w:p>
    <w:p w14:paraId="5DDD9D94" w14:textId="573A84A8" w:rsidR="00483623" w:rsidRPr="00301B0F" w:rsidRDefault="00C71CDB"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Paragraph 104 sub-paragraph 7), shall read as follows: “the transaction is governed by documentation providing for the immediate resolution of the transaction if the counterparty fails to comply with its obligation to deliver cash or securities or to respond to the margin call, or fails to fulfil other obligations</w:t>
      </w:r>
      <w:r w:rsidR="0012034E" w:rsidRPr="00301B0F">
        <w:rPr>
          <w:color w:val="000000" w:themeColor="text1"/>
          <w:lang w:val="en-GB" w:eastAsia="ro-MD"/>
        </w:rPr>
        <w:t>”</w:t>
      </w:r>
      <w:r w:rsidR="00BF76A9" w:rsidRPr="00301B0F">
        <w:rPr>
          <w:color w:val="000000" w:themeColor="text1"/>
          <w:lang w:val="en-GB" w:eastAsia="ro-MD"/>
        </w:rPr>
        <w:t>.</w:t>
      </w:r>
    </w:p>
    <w:p w14:paraId="20443860" w14:textId="4C6EEF88" w:rsidR="00BF76A9" w:rsidRPr="00301B0F" w:rsidRDefault="00C71CDB"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eastAsia="ro-MD"/>
        </w:rPr>
        <w:t>Paragraph 104</w:t>
      </w:r>
      <w:r w:rsidRPr="00301B0F">
        <w:rPr>
          <w:color w:val="000000" w:themeColor="text1"/>
          <w:vertAlign w:val="superscript"/>
          <w:lang w:val="en-GB" w:eastAsia="ro-MD"/>
        </w:rPr>
        <w:t>1</w:t>
      </w:r>
      <w:r w:rsidRPr="00301B0F">
        <w:rPr>
          <w:color w:val="000000" w:themeColor="text1"/>
          <w:lang w:val="en-GB" w:eastAsia="ro-MD"/>
        </w:rPr>
        <w:t xml:space="preserve"> shall be added with the following text</w:t>
      </w:r>
      <w:r w:rsidR="00BF76A9" w:rsidRPr="00301B0F">
        <w:rPr>
          <w:color w:val="000000" w:themeColor="text1"/>
          <w:lang w:val="en-GB" w:eastAsia="ro-MD"/>
        </w:rPr>
        <w:t>:</w:t>
      </w:r>
    </w:p>
    <w:p w14:paraId="0027C5C0" w14:textId="3D615266" w:rsidR="00BF76A9" w:rsidRPr="00301B0F" w:rsidRDefault="00C71CDB" w:rsidP="00B65F07">
      <w:pPr>
        <w:tabs>
          <w:tab w:val="left" w:pos="567"/>
        </w:tabs>
        <w:jc w:val="both"/>
        <w:rPr>
          <w:color w:val="000000" w:themeColor="text1"/>
          <w:lang w:val="en-GB"/>
        </w:rPr>
      </w:pPr>
      <w:r w:rsidRPr="00301B0F">
        <w:rPr>
          <w:color w:val="000000" w:themeColor="text1"/>
          <w:lang w:val="en-GB"/>
        </w:rPr>
        <w:t>“</w:t>
      </w:r>
      <w:r w:rsidRPr="00301B0F">
        <w:rPr>
          <w:b/>
          <w:bCs/>
          <w:color w:val="000000" w:themeColor="text1"/>
          <w:lang w:val="en-GB" w:eastAsia="ro-MD"/>
        </w:rPr>
        <w:t>104</w:t>
      </w:r>
      <w:r w:rsidRPr="00301B0F">
        <w:rPr>
          <w:b/>
          <w:bCs/>
          <w:color w:val="000000" w:themeColor="text1"/>
          <w:vertAlign w:val="superscript"/>
          <w:lang w:val="en-GB" w:eastAsia="ro-MD"/>
        </w:rPr>
        <w:t>1</w:t>
      </w:r>
      <w:r w:rsidRPr="00301B0F">
        <w:rPr>
          <w:b/>
          <w:bCs/>
          <w:color w:val="000000" w:themeColor="text1"/>
          <w:lang w:val="en-GB" w:eastAsia="ro-MD"/>
        </w:rPr>
        <w:t>.</w:t>
      </w:r>
      <w:r w:rsidRPr="00301B0F">
        <w:rPr>
          <w:color w:val="000000" w:themeColor="text1"/>
          <w:lang w:val="en-GB" w:eastAsia="ro-MD"/>
        </w:rPr>
        <w:t xml:space="preserve"> Banks that use the internal models approach set forth in Section 21 of this chapter shall not use the treatment set forth in this section</w:t>
      </w:r>
      <w:r w:rsidR="00BF76A9" w:rsidRPr="00301B0F">
        <w:rPr>
          <w:color w:val="000000" w:themeColor="text1"/>
          <w:lang w:val="en-GB" w:eastAsia="ro-MD"/>
        </w:rPr>
        <w:t>.”.</w:t>
      </w:r>
    </w:p>
    <w:p w14:paraId="7F3AC37C" w14:textId="6D182DC2" w:rsidR="00BF76A9" w:rsidRPr="00301B0F" w:rsidRDefault="00C71CDB"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eastAsia="ro-MD"/>
        </w:rPr>
        <w:lastRenderedPageBreak/>
        <w:t>Paragraph 105</w:t>
      </w:r>
      <w:r w:rsidR="00E83175" w:rsidRPr="00301B0F">
        <w:rPr>
          <w:color w:val="000000" w:themeColor="text1"/>
          <w:lang w:val="en-GB" w:eastAsia="ro-MD"/>
        </w:rPr>
        <w:t>:</w:t>
      </w:r>
    </w:p>
    <w:p w14:paraId="118F389E" w14:textId="5994D11E" w:rsidR="00E83175" w:rsidRPr="00301B0F" w:rsidRDefault="00C71CDB" w:rsidP="00B65F07">
      <w:pPr>
        <w:pStyle w:val="ListParagraph"/>
        <w:numPr>
          <w:ilvl w:val="2"/>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sub-paragraphs 2) through 5), the words “of the Republic of Moldova” shall be excluded</w:t>
      </w:r>
      <w:r w:rsidR="00C01A5F" w:rsidRPr="00301B0F">
        <w:rPr>
          <w:color w:val="000000" w:themeColor="text1"/>
          <w:lang w:val="en-GB"/>
        </w:rPr>
        <w:t>;</w:t>
      </w:r>
    </w:p>
    <w:p w14:paraId="620E1A6C" w14:textId="595B39EC" w:rsidR="00C01A5F" w:rsidRPr="00301B0F" w:rsidRDefault="00C71CDB" w:rsidP="00B65F07">
      <w:pPr>
        <w:pStyle w:val="ListParagraph"/>
        <w:numPr>
          <w:ilvl w:val="2"/>
          <w:numId w:val="27"/>
        </w:numPr>
        <w:tabs>
          <w:tab w:val="left" w:pos="0"/>
        </w:tabs>
        <w:spacing w:before="80"/>
        <w:ind w:left="0" w:firstLine="567"/>
        <w:contextualSpacing w:val="0"/>
        <w:jc w:val="both"/>
        <w:rPr>
          <w:color w:val="000000" w:themeColor="text1"/>
          <w:lang w:val="en-GB"/>
        </w:rPr>
      </w:pPr>
      <w:r w:rsidRPr="00301B0F">
        <w:rPr>
          <w:color w:val="000000" w:themeColor="text1"/>
          <w:lang w:val="en-GB"/>
        </w:rPr>
        <w:t>the following sub-paragraphs 21) and 22) shall be added with the following content</w:t>
      </w:r>
      <w:r w:rsidR="00C01A5F" w:rsidRPr="00301B0F">
        <w:rPr>
          <w:color w:val="000000" w:themeColor="text1"/>
          <w:lang w:val="en-GB"/>
        </w:rPr>
        <w:t>:</w:t>
      </w:r>
    </w:p>
    <w:p w14:paraId="4542832C" w14:textId="106B6D27" w:rsidR="00C01A5F" w:rsidRPr="00301B0F" w:rsidRDefault="00C71CDB" w:rsidP="00C01A5F">
      <w:pPr>
        <w:jc w:val="both"/>
        <w:rPr>
          <w:color w:val="000000" w:themeColor="text1"/>
          <w:sz w:val="18"/>
          <w:szCs w:val="18"/>
          <w:lang w:val="en-GB" w:eastAsia="ro-MD"/>
        </w:rPr>
      </w:pPr>
      <w:r w:rsidRPr="00301B0F">
        <w:rPr>
          <w:color w:val="000000" w:themeColor="text1"/>
          <w:lang w:val="en-GB"/>
        </w:rPr>
        <w:t>“</w:t>
      </w:r>
      <w:r w:rsidR="00C01A5F" w:rsidRPr="00301B0F">
        <w:rPr>
          <w:color w:val="000000" w:themeColor="text1"/>
          <w:lang w:val="en-GB" w:eastAsia="ro-MD"/>
        </w:rPr>
        <w:t>2</w:t>
      </w:r>
      <w:r w:rsidR="00C01A5F" w:rsidRPr="00301B0F">
        <w:rPr>
          <w:color w:val="000000" w:themeColor="text1"/>
          <w:vertAlign w:val="superscript"/>
          <w:lang w:val="en-GB" w:eastAsia="ro-MD"/>
        </w:rPr>
        <w:t>1</w:t>
      </w:r>
      <w:r w:rsidR="00C01A5F" w:rsidRPr="00301B0F">
        <w:rPr>
          <w:color w:val="000000" w:themeColor="text1"/>
          <w:lang w:val="en-GB" w:eastAsia="ro-MD"/>
        </w:rPr>
        <w:t xml:space="preserve">) </w:t>
      </w:r>
      <w:r w:rsidRPr="00301B0F">
        <w:rPr>
          <w:color w:val="000000" w:themeColor="text1"/>
          <w:lang w:val="en-GB" w:eastAsia="ro-MD"/>
        </w:rPr>
        <w:t>investment firms</w:t>
      </w:r>
      <w:r w:rsidR="00C01A5F" w:rsidRPr="00301B0F">
        <w:rPr>
          <w:color w:val="000000" w:themeColor="text1"/>
          <w:lang w:val="en-GB" w:eastAsia="ro-MD"/>
        </w:rPr>
        <w:t>;</w:t>
      </w:r>
    </w:p>
    <w:p w14:paraId="7C6A3B07" w14:textId="00900C64" w:rsidR="00C01A5F" w:rsidRPr="00301B0F" w:rsidRDefault="00C01A5F" w:rsidP="00C01A5F">
      <w:pPr>
        <w:tabs>
          <w:tab w:val="left" w:pos="567"/>
        </w:tabs>
        <w:spacing w:before="80"/>
        <w:jc w:val="both"/>
        <w:rPr>
          <w:color w:val="000000" w:themeColor="text1"/>
          <w:lang w:val="en-GB"/>
        </w:rPr>
      </w:pPr>
      <w:r w:rsidRPr="00301B0F">
        <w:rPr>
          <w:color w:val="000000" w:themeColor="text1"/>
          <w:lang w:val="en-GB" w:eastAsia="ro-MD"/>
        </w:rPr>
        <w:t>2</w:t>
      </w:r>
      <w:r w:rsidRPr="00301B0F">
        <w:rPr>
          <w:color w:val="000000" w:themeColor="text1"/>
          <w:vertAlign w:val="superscript"/>
          <w:lang w:val="en-GB" w:eastAsia="ro-MD"/>
        </w:rPr>
        <w:t>2</w:t>
      </w:r>
      <w:r w:rsidRPr="00301B0F">
        <w:rPr>
          <w:color w:val="000000" w:themeColor="text1"/>
          <w:lang w:val="en-GB" w:eastAsia="ro-MD"/>
        </w:rPr>
        <w:t xml:space="preserve">) </w:t>
      </w:r>
      <w:r w:rsidR="00C71CDB" w:rsidRPr="00301B0F">
        <w:rPr>
          <w:color w:val="000000" w:themeColor="text1"/>
          <w:lang w:val="en-GB" w:eastAsia="ro-MD"/>
        </w:rPr>
        <w:t>other financial enterprises that are an insurer or reinsurer, an insurance holding company, or a mixed financial holding company, if exposures to them are assigned a 20% risk weight under the standardi</w:t>
      </w:r>
      <w:r w:rsidR="00441768">
        <w:rPr>
          <w:color w:val="000000" w:themeColor="text1"/>
          <w:lang w:val="en-GB" w:eastAsia="ro-MD"/>
        </w:rPr>
        <w:t>s</w:t>
      </w:r>
      <w:r w:rsidR="00C71CDB" w:rsidRPr="00301B0F">
        <w:rPr>
          <w:color w:val="000000" w:themeColor="text1"/>
          <w:lang w:val="en-GB" w:eastAsia="ro-MD"/>
        </w:rPr>
        <w:t>ed approach, or entities that, in the case of banks calculating risk-weighted exposure amounts and expected loss amounts under the IRB approach, do not have a credit assessment from a recogni</w:t>
      </w:r>
      <w:r w:rsidR="00441768">
        <w:rPr>
          <w:color w:val="000000" w:themeColor="text1"/>
          <w:lang w:val="en-GB" w:eastAsia="ro-MD"/>
        </w:rPr>
        <w:t>s</w:t>
      </w:r>
      <w:r w:rsidR="00C71CDB" w:rsidRPr="00301B0F">
        <w:rPr>
          <w:color w:val="000000" w:themeColor="text1"/>
          <w:lang w:val="en-GB" w:eastAsia="ro-MD"/>
        </w:rPr>
        <w:t>ed ECAI and are assessed internally by the bank</w:t>
      </w:r>
      <w:r w:rsidRPr="00301B0F">
        <w:rPr>
          <w:color w:val="000000" w:themeColor="text1"/>
          <w:lang w:val="en-GB" w:eastAsia="ro-MD"/>
        </w:rPr>
        <w:t>;”.</w:t>
      </w:r>
    </w:p>
    <w:p w14:paraId="75879158" w14:textId="47352553" w:rsidR="00BF76A9" w:rsidRPr="00301B0F" w:rsidRDefault="00C71CDB"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In Chapter VIII, the title of Section 9 shall be supplemented with the words “</w:t>
      </w:r>
      <w:r w:rsidRPr="00301B0F">
        <w:rPr>
          <w:b/>
          <w:bCs/>
          <w:i/>
          <w:iCs/>
          <w:color w:val="000000" w:themeColor="text1"/>
          <w:lang w:val="en-GB"/>
        </w:rPr>
        <w:t>for exposures treated under the standardised approach</w:t>
      </w:r>
      <w:r w:rsidR="00625B28" w:rsidRPr="00301B0F">
        <w:rPr>
          <w:color w:val="000000" w:themeColor="text1"/>
          <w:lang w:val="en-GB"/>
        </w:rPr>
        <w:t>”.</w:t>
      </w:r>
    </w:p>
    <w:p w14:paraId="53A46335" w14:textId="641642E9" w:rsidR="00625B28" w:rsidRPr="00301B0F" w:rsidRDefault="00C71CDB"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The beginning of paragraph 106 is supplemented with the text “Under the standardised approach</w:t>
      </w:r>
      <w:r w:rsidR="004F20E8" w:rsidRPr="00301B0F">
        <w:rPr>
          <w:color w:val="000000" w:themeColor="text1"/>
          <w:lang w:val="en-GB" w:eastAsia="ro-MD"/>
        </w:rPr>
        <w:t>,”.</w:t>
      </w:r>
    </w:p>
    <w:p w14:paraId="04774D94" w14:textId="00DA6C70" w:rsidR="004F20E8" w:rsidRPr="00301B0F" w:rsidRDefault="00C71CDB"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eastAsia="ro-MD"/>
        </w:rPr>
        <w:t>Chapter VIII shall be supplemented with Sections 9</w:t>
      </w:r>
      <w:r w:rsidRPr="00301B0F">
        <w:rPr>
          <w:color w:val="000000" w:themeColor="text1"/>
          <w:vertAlign w:val="superscript"/>
          <w:lang w:val="en-GB" w:eastAsia="ro-MD"/>
        </w:rPr>
        <w:t>1</w:t>
      </w:r>
      <w:r w:rsidRPr="00301B0F">
        <w:rPr>
          <w:color w:val="000000" w:themeColor="text1"/>
          <w:lang w:val="en-GB" w:eastAsia="ro-MD"/>
        </w:rPr>
        <w:t>, 9</w:t>
      </w:r>
      <w:r w:rsidRPr="00301B0F">
        <w:rPr>
          <w:color w:val="000000" w:themeColor="text1"/>
          <w:vertAlign w:val="superscript"/>
          <w:lang w:val="en-GB" w:eastAsia="ro-MD"/>
        </w:rPr>
        <w:t>2</w:t>
      </w:r>
      <w:r w:rsidRPr="00301B0F">
        <w:rPr>
          <w:color w:val="000000" w:themeColor="text1"/>
          <w:lang w:val="en-GB" w:eastAsia="ro-MD"/>
        </w:rPr>
        <w:t xml:space="preserve"> and 9</w:t>
      </w:r>
      <w:r w:rsidRPr="00301B0F">
        <w:rPr>
          <w:color w:val="000000" w:themeColor="text1"/>
          <w:vertAlign w:val="superscript"/>
          <w:lang w:val="en-GB" w:eastAsia="ro-MD"/>
        </w:rPr>
        <w:t>3</w:t>
      </w:r>
      <w:r w:rsidRPr="00301B0F">
        <w:rPr>
          <w:color w:val="000000" w:themeColor="text1"/>
          <w:lang w:val="en-GB" w:eastAsia="ro-MD"/>
        </w:rPr>
        <w:t xml:space="preserve"> with the following content</w:t>
      </w:r>
      <w:r w:rsidR="007E6E1A" w:rsidRPr="00301B0F">
        <w:rPr>
          <w:color w:val="000000" w:themeColor="text1"/>
          <w:lang w:val="en-GB" w:eastAsia="ro-MD"/>
        </w:rPr>
        <w:t>:</w:t>
      </w:r>
    </w:p>
    <w:p w14:paraId="265A37E0" w14:textId="42F27BF0" w:rsidR="006F667E" w:rsidRPr="00301B0F" w:rsidRDefault="00C71CDB" w:rsidP="006F667E">
      <w:pPr>
        <w:jc w:val="center"/>
        <w:rPr>
          <w:color w:val="000000" w:themeColor="text1"/>
          <w:lang w:val="en-GB" w:eastAsia="ro-MD"/>
        </w:rPr>
      </w:pPr>
      <w:r w:rsidRPr="00301B0F">
        <w:rPr>
          <w:color w:val="000000" w:themeColor="text1"/>
          <w:lang w:val="en-GB"/>
        </w:rPr>
        <w:t>“</w:t>
      </w:r>
      <w:r w:rsidRPr="00301B0F">
        <w:rPr>
          <w:b/>
          <w:bCs/>
          <w:i/>
          <w:iCs/>
          <w:color w:val="000000" w:themeColor="text1"/>
          <w:lang w:val="en-GB" w:eastAsia="ro-MD"/>
        </w:rPr>
        <w:t>Section 9</w:t>
      </w:r>
      <w:r w:rsidRPr="00301B0F">
        <w:rPr>
          <w:b/>
          <w:bCs/>
          <w:i/>
          <w:iCs/>
          <w:color w:val="000000" w:themeColor="text1"/>
          <w:vertAlign w:val="superscript"/>
          <w:lang w:val="en-GB" w:eastAsia="ro-MD"/>
        </w:rPr>
        <w:t>1</w:t>
      </w:r>
    </w:p>
    <w:p w14:paraId="46E3F088" w14:textId="77777777" w:rsidR="00C71CDB" w:rsidRPr="00301B0F" w:rsidRDefault="00C71CDB" w:rsidP="00C71CDB">
      <w:pPr>
        <w:jc w:val="center"/>
        <w:rPr>
          <w:color w:val="000000" w:themeColor="text1"/>
          <w:lang w:val="en-GB" w:eastAsia="ro-MD"/>
        </w:rPr>
      </w:pPr>
      <w:r w:rsidRPr="00301B0F">
        <w:rPr>
          <w:b/>
          <w:bCs/>
          <w:i/>
          <w:iCs/>
          <w:color w:val="000000" w:themeColor="text1"/>
          <w:lang w:val="en-GB" w:eastAsia="ro-MD"/>
        </w:rPr>
        <w:t>Valuation principles for eligible collateral other than financial collateral</w:t>
      </w:r>
    </w:p>
    <w:p w14:paraId="1D68F8DD" w14:textId="77777777" w:rsidR="00C71CDB" w:rsidRPr="00301B0F" w:rsidRDefault="006F667E" w:rsidP="00C71CDB">
      <w:pPr>
        <w:pStyle w:val="title-article-norm"/>
        <w:shd w:val="clear" w:color="auto" w:fill="FFFFFF"/>
        <w:spacing w:before="0" w:beforeAutospacing="0" w:after="0" w:afterAutospacing="0" w:line="312" w:lineRule="atLeast"/>
        <w:jc w:val="both"/>
        <w:rPr>
          <w:rFonts w:eastAsia="Arial Unicode MS"/>
          <w:color w:val="000000" w:themeColor="text1"/>
          <w:lang w:val="en-GB"/>
        </w:rPr>
      </w:pPr>
      <w:r w:rsidRPr="00301B0F">
        <w:rPr>
          <w:b/>
          <w:bCs/>
          <w:color w:val="000000" w:themeColor="text1"/>
          <w:lang w:val="en-GB"/>
          <w14:ligatures w14:val="none"/>
        </w:rPr>
        <w:t>107</w:t>
      </w:r>
      <w:r w:rsidRPr="00301B0F">
        <w:rPr>
          <w:b/>
          <w:bCs/>
          <w:color w:val="000000" w:themeColor="text1"/>
          <w:vertAlign w:val="superscript"/>
          <w:lang w:val="en-GB"/>
          <w14:ligatures w14:val="none"/>
        </w:rPr>
        <w:t>1</w:t>
      </w:r>
      <w:r w:rsidRPr="00301B0F">
        <w:rPr>
          <w:b/>
          <w:bCs/>
          <w:color w:val="000000" w:themeColor="text1"/>
          <w:lang w:val="en-GB"/>
          <w14:ligatures w14:val="none"/>
        </w:rPr>
        <w:t xml:space="preserve">. </w:t>
      </w:r>
      <w:r w:rsidR="00C71CDB" w:rsidRPr="00301B0F">
        <w:rPr>
          <w:rFonts w:eastAsia="Arial Unicode MS"/>
          <w:color w:val="000000" w:themeColor="text1"/>
          <w:lang w:val="en-GB"/>
        </w:rPr>
        <w:t xml:space="preserve">The valuation of immovable property shall meet </w:t>
      </w:r>
      <w:proofErr w:type="gramStart"/>
      <w:r w:rsidR="00C71CDB" w:rsidRPr="00301B0F">
        <w:rPr>
          <w:rFonts w:eastAsia="Arial Unicode MS"/>
          <w:color w:val="000000" w:themeColor="text1"/>
          <w:lang w:val="en-GB"/>
        </w:rPr>
        <w:t>all of</w:t>
      </w:r>
      <w:proofErr w:type="gramEnd"/>
      <w:r w:rsidR="00C71CDB" w:rsidRPr="00301B0F">
        <w:rPr>
          <w:rFonts w:eastAsia="Arial Unicode MS"/>
          <w:color w:val="000000" w:themeColor="text1"/>
          <w:lang w:val="en-GB"/>
        </w:rPr>
        <w:t xml:space="preserve"> the following requirements:</w:t>
      </w:r>
    </w:p>
    <w:p w14:paraId="1B2B50B6" w14:textId="5F1FE616" w:rsidR="006F667E" w:rsidRPr="00301B0F" w:rsidRDefault="00C71CDB" w:rsidP="00C71CDB">
      <w:pPr>
        <w:pStyle w:val="title-article-norm"/>
        <w:shd w:val="clear" w:color="auto" w:fill="FFFFFF"/>
        <w:spacing w:before="0" w:beforeAutospacing="0" w:after="0" w:afterAutospacing="0" w:line="312" w:lineRule="atLeast"/>
        <w:jc w:val="both"/>
        <w:rPr>
          <w:rFonts w:eastAsia="Arial Unicode MS"/>
          <w:color w:val="000000" w:themeColor="text1"/>
          <w:lang w:val="en-GB"/>
        </w:rPr>
      </w:pPr>
      <w:r w:rsidRPr="00301B0F">
        <w:rPr>
          <w:rFonts w:eastAsia="Arial Unicode MS"/>
          <w:color w:val="000000" w:themeColor="text1"/>
          <w:lang w:val="en-GB"/>
        </w:rPr>
        <w:t>1) the value of the immovable property is assessed by an independent appraiser, in accordance with Law No 989/2002 on appraisal activities, independently of the bank’s mortgage acquisition process, loan processing, and loan decision-making process</w:t>
      </w:r>
      <w:r w:rsidR="006F667E" w:rsidRPr="00301B0F">
        <w:rPr>
          <w:rFonts w:eastAsia="Arial Unicode MS"/>
          <w:color w:val="000000" w:themeColor="text1"/>
          <w:lang w:val="en-GB"/>
        </w:rPr>
        <w:t>;</w:t>
      </w:r>
    </w:p>
    <w:p w14:paraId="109A5BA0" w14:textId="5D4D721D" w:rsidR="00C71CDB" w:rsidRPr="00301B0F" w:rsidRDefault="00C71CDB" w:rsidP="00A74939">
      <w:pPr>
        <w:shd w:val="clear" w:color="auto" w:fill="FFFFFF"/>
        <w:jc w:val="both"/>
        <w:rPr>
          <w:rFonts w:eastAsia="Arial Unicode MS"/>
          <w:color w:val="000000" w:themeColor="text1"/>
          <w:lang w:val="en-GB"/>
        </w:rPr>
      </w:pPr>
      <w:r w:rsidRPr="00301B0F">
        <w:rPr>
          <w:rFonts w:eastAsia="Arial Unicode MS"/>
          <w:color w:val="000000" w:themeColor="text1"/>
          <w:lang w:val="en-GB"/>
        </w:rPr>
        <w:t>2) </w:t>
      </w:r>
      <w:r w:rsidR="00A74939" w:rsidRPr="00301B0F">
        <w:rPr>
          <w:rFonts w:eastAsia="Arial Unicode MS"/>
          <w:color w:val="000000" w:themeColor="text1"/>
          <w:lang w:val="en-GB"/>
        </w:rPr>
        <w:t xml:space="preserve">the </w:t>
      </w:r>
      <w:r w:rsidRPr="00301B0F">
        <w:rPr>
          <w:rFonts w:eastAsia="Arial Unicode MS"/>
          <w:color w:val="000000" w:themeColor="text1"/>
          <w:lang w:val="en-GB"/>
        </w:rPr>
        <w:t>value of the immovable property is determined based on prudent valuation criteria that cumulatively meet the following requirements:</w:t>
      </w:r>
    </w:p>
    <w:p w14:paraId="0CB9BCFB" w14:textId="77777777" w:rsidR="00C71CDB" w:rsidRPr="00301B0F" w:rsidRDefault="00C71CDB" w:rsidP="00C71CDB">
      <w:pPr>
        <w:shd w:val="clear" w:color="auto" w:fill="FFFFFF"/>
        <w:ind w:firstLine="567"/>
        <w:jc w:val="both"/>
        <w:rPr>
          <w:rFonts w:eastAsia="Arial Unicode MS"/>
          <w:color w:val="000000" w:themeColor="text1"/>
          <w:lang w:val="en-GB"/>
        </w:rPr>
      </w:pPr>
      <w:r w:rsidRPr="00301B0F">
        <w:rPr>
          <w:rFonts w:eastAsia="Arial Unicode MS"/>
          <w:color w:val="000000" w:themeColor="text1"/>
          <w:lang w:val="en-GB"/>
        </w:rPr>
        <w:t xml:space="preserve">a) the value of immovable property does not </w:t>
      </w:r>
      <w:proofErr w:type="gramStart"/>
      <w:r w:rsidRPr="00301B0F">
        <w:rPr>
          <w:rFonts w:eastAsia="Arial Unicode MS"/>
          <w:color w:val="000000" w:themeColor="text1"/>
          <w:lang w:val="en-GB"/>
        </w:rPr>
        <w:t>take into account</w:t>
      </w:r>
      <w:proofErr w:type="gramEnd"/>
      <w:r w:rsidRPr="00301B0F">
        <w:rPr>
          <w:rFonts w:eastAsia="Arial Unicode MS"/>
          <w:color w:val="000000" w:themeColor="text1"/>
          <w:lang w:val="en-GB"/>
        </w:rPr>
        <w:t xml:space="preserve"> expectations of price increases;</w:t>
      </w:r>
    </w:p>
    <w:p w14:paraId="4C9390F8" w14:textId="77777777" w:rsidR="00C71CDB" w:rsidRPr="00301B0F" w:rsidRDefault="00C71CDB" w:rsidP="00C71CDB">
      <w:pPr>
        <w:shd w:val="clear" w:color="auto" w:fill="FFFFFF"/>
        <w:ind w:firstLine="567"/>
        <w:jc w:val="both"/>
        <w:rPr>
          <w:rFonts w:eastAsia="Arial Unicode MS"/>
          <w:color w:val="000000" w:themeColor="text1"/>
          <w:lang w:val="en-GB"/>
        </w:rPr>
      </w:pPr>
      <w:r w:rsidRPr="00301B0F">
        <w:rPr>
          <w:rFonts w:eastAsia="Arial Unicode MS"/>
          <w:color w:val="000000" w:themeColor="text1"/>
          <w:lang w:val="en-GB"/>
        </w:rPr>
        <w:t>b) the value of the immovable property is adjusted to account for the possibility that the current market value may be significantly above the value that would be sustainable over the life of the loan;</w:t>
      </w:r>
    </w:p>
    <w:p w14:paraId="542D653E" w14:textId="77777777" w:rsidR="00C71CDB" w:rsidRPr="00301B0F" w:rsidRDefault="00C71CDB" w:rsidP="00A74939">
      <w:pPr>
        <w:shd w:val="clear" w:color="auto" w:fill="FFFFFF"/>
        <w:jc w:val="both"/>
        <w:rPr>
          <w:rFonts w:eastAsia="Arial Unicode MS"/>
          <w:color w:val="000000" w:themeColor="text1"/>
          <w:lang w:val="en-GB"/>
        </w:rPr>
      </w:pPr>
      <w:r w:rsidRPr="00301B0F">
        <w:rPr>
          <w:rFonts w:eastAsia="Arial Unicode MS"/>
          <w:color w:val="000000" w:themeColor="text1"/>
          <w:lang w:val="en-GB"/>
        </w:rPr>
        <w:t>3) the value of the immovable property is documented in a transparent and clear manner;</w:t>
      </w:r>
    </w:p>
    <w:p w14:paraId="6C91CB9F" w14:textId="77777777" w:rsidR="00C71CDB" w:rsidRPr="00301B0F" w:rsidRDefault="00C71CDB" w:rsidP="00A74939">
      <w:pPr>
        <w:shd w:val="clear" w:color="auto" w:fill="FFFFFF"/>
        <w:jc w:val="both"/>
        <w:rPr>
          <w:rFonts w:eastAsia="Arial Unicode MS"/>
          <w:color w:val="000000" w:themeColor="text1"/>
          <w:lang w:val="en-GB"/>
        </w:rPr>
      </w:pPr>
      <w:r w:rsidRPr="00301B0F">
        <w:rPr>
          <w:rFonts w:eastAsia="Arial Unicode MS"/>
          <w:color w:val="000000" w:themeColor="text1"/>
          <w:lang w:val="en-GB"/>
        </w:rPr>
        <w:t>4) the value of the immovable property does not exceed its market value, if such a market value can be determined;</w:t>
      </w:r>
    </w:p>
    <w:p w14:paraId="28196D7B" w14:textId="303D7345" w:rsidR="006F667E" w:rsidRPr="00301B0F" w:rsidRDefault="00C71CDB" w:rsidP="00A74939">
      <w:pPr>
        <w:shd w:val="clear" w:color="auto" w:fill="FFFFFF"/>
        <w:jc w:val="both"/>
        <w:rPr>
          <w:rFonts w:eastAsia="Arial Unicode MS"/>
          <w:color w:val="000000" w:themeColor="text1"/>
          <w:lang w:val="en-GB"/>
        </w:rPr>
      </w:pPr>
      <w:r w:rsidRPr="00301B0F">
        <w:rPr>
          <w:rFonts w:eastAsia="Arial Unicode MS"/>
          <w:color w:val="000000" w:themeColor="text1"/>
          <w:lang w:val="en-GB"/>
        </w:rPr>
        <w:t>5) In the event of a revaluation of the immovable property, its value may not exceed the average value determined for that property, or for a comparable immovable property, over the past six years in the case of residential real estate or eight years in the case of commercial real estate, or the value at the time of initiation, whichever is higher</w:t>
      </w:r>
      <w:r w:rsidR="006F667E" w:rsidRPr="00301B0F">
        <w:rPr>
          <w:rFonts w:eastAsia="Arial Unicode MS"/>
          <w:color w:val="000000" w:themeColor="text1"/>
          <w:lang w:val="en-GB"/>
        </w:rPr>
        <w:t>.</w:t>
      </w:r>
    </w:p>
    <w:p w14:paraId="0BD90814" w14:textId="77777777" w:rsidR="00C71CDB" w:rsidRPr="00301B0F" w:rsidRDefault="006F667E" w:rsidP="00C71CDB">
      <w:pPr>
        <w:pStyle w:val="norm"/>
        <w:shd w:val="clear" w:color="auto" w:fill="FFFFFF"/>
        <w:spacing w:before="0" w:beforeAutospacing="0" w:after="0" w:afterAutospacing="0" w:line="312" w:lineRule="atLeast"/>
        <w:jc w:val="both"/>
        <w:rPr>
          <w:rFonts w:eastAsia="Arial Unicode MS"/>
          <w:color w:val="000000" w:themeColor="text1"/>
          <w:lang w:val="en-GB"/>
        </w:rPr>
      </w:pPr>
      <w:r w:rsidRPr="00301B0F">
        <w:rPr>
          <w:b/>
          <w:bCs/>
          <w:color w:val="000000" w:themeColor="text1"/>
          <w:lang w:val="en-GB"/>
        </w:rPr>
        <w:t>107</w:t>
      </w:r>
      <w:r w:rsidRPr="00301B0F">
        <w:rPr>
          <w:b/>
          <w:bCs/>
          <w:color w:val="000000" w:themeColor="text1"/>
          <w:vertAlign w:val="superscript"/>
          <w:lang w:val="en-GB"/>
        </w:rPr>
        <w:t>2</w:t>
      </w:r>
      <w:r w:rsidRPr="00301B0F">
        <w:rPr>
          <w:b/>
          <w:bCs/>
          <w:color w:val="000000" w:themeColor="text1"/>
          <w:lang w:val="en-GB"/>
        </w:rPr>
        <w:t xml:space="preserve">. </w:t>
      </w:r>
      <w:proofErr w:type="gramStart"/>
      <w:r w:rsidR="00C71CDB" w:rsidRPr="00301B0F">
        <w:rPr>
          <w:rFonts w:eastAsia="Arial Unicode MS"/>
          <w:color w:val="000000" w:themeColor="text1"/>
          <w:lang w:val="en-GB"/>
        </w:rPr>
        <w:t>For the purpose of</w:t>
      </w:r>
      <w:proofErr w:type="gramEnd"/>
      <w:r w:rsidR="00C71CDB" w:rsidRPr="00301B0F">
        <w:rPr>
          <w:rFonts w:eastAsia="Arial Unicode MS"/>
          <w:color w:val="000000" w:themeColor="text1"/>
          <w:lang w:val="en-GB"/>
        </w:rPr>
        <w:t xml:space="preserve"> calculating the average value, banks shall take the average across property values observed at equal intervals and the reference period shall include at least three data points.</w:t>
      </w:r>
    </w:p>
    <w:p w14:paraId="2CEBADE2" w14:textId="7F1FB7DF" w:rsidR="006F667E" w:rsidRPr="00301B0F" w:rsidRDefault="00C71CDB" w:rsidP="00C71CDB">
      <w:pPr>
        <w:pStyle w:val="norm"/>
        <w:shd w:val="clear" w:color="auto" w:fill="FFFFFF"/>
        <w:spacing w:before="0" w:beforeAutospacing="0" w:after="0" w:afterAutospacing="0" w:line="312" w:lineRule="atLeast"/>
        <w:jc w:val="both"/>
        <w:rPr>
          <w:rFonts w:eastAsia="Arial Unicode MS"/>
          <w:color w:val="000000" w:themeColor="text1"/>
          <w:lang w:val="en-GB"/>
        </w:rPr>
      </w:pPr>
      <w:proofErr w:type="gramStart"/>
      <w:r w:rsidRPr="00301B0F">
        <w:rPr>
          <w:rFonts w:eastAsia="Arial Unicode MS"/>
          <w:color w:val="000000" w:themeColor="text1"/>
          <w:lang w:val="en-GB"/>
        </w:rPr>
        <w:t>For the purpose of</w:t>
      </w:r>
      <w:proofErr w:type="gramEnd"/>
      <w:r w:rsidRPr="00301B0F">
        <w:rPr>
          <w:rFonts w:eastAsia="Arial Unicode MS"/>
          <w:color w:val="000000" w:themeColor="text1"/>
          <w:lang w:val="en-GB"/>
        </w:rPr>
        <w:t xml:space="preserve"> calculating the average value, institutions may use the results of the monitoring of property values in accordance with Annex 2 </w:t>
      </w:r>
      <w:r w:rsidR="00A74939">
        <w:rPr>
          <w:rFonts w:eastAsia="Arial Unicode MS"/>
          <w:color w:val="000000" w:themeColor="text1"/>
          <w:lang w:val="en-GB"/>
        </w:rPr>
        <w:t>t</w:t>
      </w:r>
      <w:r w:rsidRPr="00301B0F">
        <w:rPr>
          <w:rFonts w:eastAsia="Arial Unicode MS"/>
          <w:color w:val="000000" w:themeColor="text1"/>
          <w:lang w:val="en-GB"/>
        </w:rPr>
        <w:t>o Regulation No 111/2018. The property value may exceed that average value or the value at origination, as applicable, in the case of modifications made to the property that unequivocally increase its value, such as improvements of the energy performance or improvements to the resilience, protection and adaptation to physical risks of the building or housing unit. The property value shall not be revalued upward if banks do not have sufficient data to calculate the average value except if the value increase is based on modifications that unequivocally increase its value</w:t>
      </w:r>
      <w:r w:rsidR="006F667E" w:rsidRPr="00301B0F">
        <w:rPr>
          <w:rFonts w:eastAsia="Arial Unicode MS"/>
          <w:color w:val="000000" w:themeColor="text1"/>
          <w:lang w:val="en-GB"/>
        </w:rPr>
        <w:t>.</w:t>
      </w:r>
    </w:p>
    <w:p w14:paraId="687A900A" w14:textId="2E36079E" w:rsidR="006F667E" w:rsidRPr="00301B0F"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en-GB"/>
        </w:rPr>
      </w:pPr>
      <w:r w:rsidRPr="00301B0F">
        <w:rPr>
          <w:b/>
          <w:bCs/>
          <w:color w:val="000000" w:themeColor="text1"/>
          <w:lang w:val="en-GB"/>
        </w:rPr>
        <w:lastRenderedPageBreak/>
        <w:t>107</w:t>
      </w:r>
      <w:r w:rsidRPr="00301B0F">
        <w:rPr>
          <w:b/>
          <w:bCs/>
          <w:color w:val="000000" w:themeColor="text1"/>
          <w:vertAlign w:val="superscript"/>
          <w:lang w:val="en-GB"/>
        </w:rPr>
        <w:t>3</w:t>
      </w:r>
      <w:r w:rsidRPr="00301B0F">
        <w:rPr>
          <w:b/>
          <w:bCs/>
          <w:color w:val="000000" w:themeColor="text1"/>
          <w:lang w:val="en-GB"/>
        </w:rPr>
        <w:t>.</w:t>
      </w:r>
      <w:r w:rsidRPr="00301B0F">
        <w:rPr>
          <w:color w:val="000000" w:themeColor="text1"/>
          <w:lang w:val="en-GB"/>
        </w:rPr>
        <w:t xml:space="preserve"> </w:t>
      </w:r>
      <w:r w:rsidR="00C71CDB" w:rsidRPr="00301B0F">
        <w:rPr>
          <w:rFonts w:eastAsia="Arial Unicode MS"/>
          <w:color w:val="000000" w:themeColor="text1"/>
          <w:lang w:val="en-GB"/>
        </w:rPr>
        <w:t>The valuation of immovable property takes into account any prior claims on the immovable property, unless a prior claim is taken into account when calculating the gross exposure amount pursuant to paragraph 68(3) of Regulation No 111/2018 or as a factor reducing the 55% of the property’s value pursuant to Regulation No 111/2018, paragraphs 69–69</w:t>
      </w:r>
      <w:r w:rsidR="00C71CDB" w:rsidRPr="00EB29E2">
        <w:rPr>
          <w:rFonts w:eastAsia="Arial Unicode MS"/>
          <w:color w:val="000000" w:themeColor="text1"/>
          <w:vertAlign w:val="superscript"/>
          <w:lang w:val="en-GB"/>
        </w:rPr>
        <w:t>3</w:t>
      </w:r>
      <w:r w:rsidR="00C71CDB" w:rsidRPr="00301B0F">
        <w:rPr>
          <w:rFonts w:eastAsia="Arial Unicode MS"/>
          <w:color w:val="000000" w:themeColor="text1"/>
          <w:lang w:val="en-GB"/>
        </w:rPr>
        <w:t xml:space="preserve"> regarding residential real estate and 71–71</w:t>
      </w:r>
      <w:r w:rsidR="00C71CDB" w:rsidRPr="00C77F58">
        <w:rPr>
          <w:rFonts w:eastAsia="Arial Unicode MS"/>
          <w:color w:val="000000" w:themeColor="text1"/>
          <w:vertAlign w:val="superscript"/>
          <w:lang w:val="en-GB"/>
        </w:rPr>
        <w:t>3</w:t>
      </w:r>
      <w:r w:rsidR="00C71CDB" w:rsidRPr="00301B0F">
        <w:rPr>
          <w:rFonts w:eastAsia="Arial Unicode MS"/>
          <w:color w:val="000000" w:themeColor="text1"/>
          <w:lang w:val="en-GB"/>
        </w:rPr>
        <w:t xml:space="preserve"> on commercial property, and reflects, as applicable, the results of the monitoring required under Annex 2 to Regulation No 111/2018</w:t>
      </w:r>
      <w:r w:rsidRPr="00301B0F">
        <w:rPr>
          <w:rFonts w:eastAsia="Arial Unicode MS"/>
          <w:color w:val="000000" w:themeColor="text1"/>
          <w:lang w:val="en-GB"/>
        </w:rPr>
        <w:t>.</w:t>
      </w:r>
    </w:p>
    <w:p w14:paraId="40F4C0C6" w14:textId="55B948CC" w:rsidR="006F667E" w:rsidRPr="00301B0F" w:rsidRDefault="006F667E" w:rsidP="006F667E">
      <w:pPr>
        <w:shd w:val="clear" w:color="auto" w:fill="FFFFFF"/>
        <w:jc w:val="both"/>
        <w:rPr>
          <w:rFonts w:eastAsia="Arial Unicode MS"/>
          <w:color w:val="000000" w:themeColor="text1"/>
          <w:lang w:val="en-GB"/>
        </w:rPr>
      </w:pPr>
      <w:r w:rsidRPr="00301B0F">
        <w:rPr>
          <w:b/>
          <w:bCs/>
          <w:color w:val="000000" w:themeColor="text1"/>
          <w:lang w:val="en-GB"/>
        </w:rPr>
        <w:t>107</w:t>
      </w:r>
      <w:r w:rsidRPr="00301B0F">
        <w:rPr>
          <w:b/>
          <w:bCs/>
          <w:color w:val="000000" w:themeColor="text1"/>
          <w:vertAlign w:val="superscript"/>
          <w:lang w:val="en-GB"/>
        </w:rPr>
        <w:t>4</w:t>
      </w:r>
      <w:r w:rsidRPr="00301B0F">
        <w:rPr>
          <w:b/>
          <w:bCs/>
          <w:color w:val="000000" w:themeColor="text1"/>
          <w:lang w:val="en-GB"/>
        </w:rPr>
        <w:t>.</w:t>
      </w:r>
      <w:r w:rsidRPr="00301B0F">
        <w:rPr>
          <w:rFonts w:eastAsia="Arial Unicode MS"/>
          <w:color w:val="000000" w:themeColor="text1"/>
          <w:lang w:val="en-GB"/>
        </w:rPr>
        <w:t xml:space="preserve"> </w:t>
      </w:r>
      <w:r w:rsidR="00C71CDB" w:rsidRPr="00301B0F">
        <w:rPr>
          <w:rFonts w:eastAsia="Arial Unicode MS"/>
          <w:color w:val="000000" w:themeColor="text1"/>
          <w:lang w:val="en-GB"/>
        </w:rPr>
        <w:t>For receivables, the value of receivables shall be the amount receivable</w:t>
      </w:r>
      <w:r w:rsidRPr="00301B0F">
        <w:rPr>
          <w:rFonts w:eastAsia="Arial Unicode MS"/>
          <w:color w:val="000000" w:themeColor="text1"/>
          <w:lang w:val="en-GB"/>
        </w:rPr>
        <w:t>.</w:t>
      </w:r>
    </w:p>
    <w:p w14:paraId="0894506A" w14:textId="45867167" w:rsidR="006F667E" w:rsidRPr="00301B0F" w:rsidRDefault="006F667E" w:rsidP="006F667E">
      <w:pPr>
        <w:shd w:val="clear" w:color="auto" w:fill="FFFFFF"/>
        <w:jc w:val="both"/>
        <w:rPr>
          <w:rFonts w:eastAsia="Arial Unicode MS"/>
          <w:color w:val="000000" w:themeColor="text1"/>
          <w:lang w:val="en-GB"/>
        </w:rPr>
      </w:pPr>
      <w:r w:rsidRPr="00301B0F">
        <w:rPr>
          <w:b/>
          <w:bCs/>
          <w:color w:val="000000" w:themeColor="text1"/>
          <w:lang w:val="en-GB"/>
        </w:rPr>
        <w:t>107</w:t>
      </w:r>
      <w:r w:rsidRPr="00301B0F">
        <w:rPr>
          <w:b/>
          <w:bCs/>
          <w:color w:val="000000" w:themeColor="text1"/>
          <w:vertAlign w:val="superscript"/>
          <w:lang w:val="en-GB"/>
        </w:rPr>
        <w:t>5</w:t>
      </w:r>
      <w:r w:rsidRPr="00301B0F">
        <w:rPr>
          <w:b/>
          <w:bCs/>
          <w:color w:val="000000" w:themeColor="text1"/>
          <w:lang w:val="en-GB"/>
        </w:rPr>
        <w:t>.</w:t>
      </w:r>
      <w:r w:rsidRPr="00301B0F">
        <w:rPr>
          <w:color w:val="000000" w:themeColor="text1"/>
          <w:lang w:val="en-GB"/>
        </w:rPr>
        <w:t xml:space="preserve"> </w:t>
      </w:r>
      <w:r w:rsidR="00C71CDB" w:rsidRPr="00301B0F">
        <w:rPr>
          <w:rFonts w:eastAsia="Arial Unicode MS"/>
          <w:color w:val="000000" w:themeColor="text1"/>
          <w:lang w:val="en-GB"/>
        </w:rPr>
        <w:t>Banks shall value physical collateral other than immovable property at its market value. For the purposes of this paragraph, the market value is the estimated amount for which the property would exchange on the date of valuation between a willing buyer and a willing seller in an arm's-length transaction</w:t>
      </w:r>
      <w:r w:rsidR="00826588" w:rsidRPr="00301B0F">
        <w:rPr>
          <w:rFonts w:eastAsia="Arial Unicode MS"/>
          <w:color w:val="000000" w:themeColor="text1"/>
          <w:lang w:val="en-GB"/>
        </w:rPr>
        <w:t>.</w:t>
      </w:r>
    </w:p>
    <w:p w14:paraId="3CDD95E0" w14:textId="5A56BE7A" w:rsidR="006F667E" w:rsidRPr="00301B0F" w:rsidRDefault="006F667E" w:rsidP="006F667E">
      <w:pPr>
        <w:jc w:val="center"/>
        <w:rPr>
          <w:color w:val="000000" w:themeColor="text1"/>
          <w:lang w:val="en-GB" w:eastAsia="ro-MD"/>
        </w:rPr>
      </w:pPr>
      <w:r w:rsidRPr="00301B0F">
        <w:rPr>
          <w:color w:val="000000" w:themeColor="text1"/>
          <w:lang w:val="en-GB" w:eastAsia="ro-MD"/>
        </w:rPr>
        <w:t> </w:t>
      </w:r>
      <w:r w:rsidRPr="00301B0F">
        <w:rPr>
          <w:b/>
          <w:bCs/>
          <w:i/>
          <w:iCs/>
          <w:color w:val="000000" w:themeColor="text1"/>
          <w:lang w:val="en-GB" w:eastAsia="ro-MD"/>
        </w:rPr>
        <w:t>Sec</w:t>
      </w:r>
      <w:r w:rsidR="00EB0D06" w:rsidRPr="00301B0F">
        <w:rPr>
          <w:b/>
          <w:bCs/>
          <w:i/>
          <w:iCs/>
          <w:color w:val="000000" w:themeColor="text1"/>
          <w:lang w:val="en-GB" w:eastAsia="ro-MD"/>
        </w:rPr>
        <w:t>tion</w:t>
      </w:r>
      <w:r w:rsidRPr="00301B0F">
        <w:rPr>
          <w:b/>
          <w:bCs/>
          <w:i/>
          <w:iCs/>
          <w:color w:val="000000" w:themeColor="text1"/>
          <w:lang w:val="en-GB" w:eastAsia="ro-MD"/>
        </w:rPr>
        <w:t xml:space="preserve"> 9</w:t>
      </w:r>
      <w:r w:rsidRPr="00301B0F">
        <w:rPr>
          <w:b/>
          <w:bCs/>
          <w:i/>
          <w:iCs/>
          <w:color w:val="000000" w:themeColor="text1"/>
          <w:vertAlign w:val="superscript"/>
          <w:lang w:val="en-GB" w:eastAsia="ro-MD"/>
        </w:rPr>
        <w:t>2</w:t>
      </w:r>
    </w:p>
    <w:p w14:paraId="1BCB8207" w14:textId="5CF6C7B5" w:rsidR="006F667E" w:rsidRPr="00301B0F" w:rsidRDefault="00EB0D06" w:rsidP="00EB0D06">
      <w:pPr>
        <w:jc w:val="center"/>
        <w:rPr>
          <w:i/>
          <w:iCs/>
          <w:color w:val="000000" w:themeColor="text1"/>
          <w:lang w:val="en-GB" w:eastAsia="ro-MD"/>
        </w:rPr>
      </w:pPr>
      <w:r w:rsidRPr="00301B0F">
        <w:rPr>
          <w:b/>
          <w:bCs/>
          <w:i/>
          <w:iCs/>
          <w:color w:val="000000" w:themeColor="text1"/>
          <w:lang w:val="en-GB" w:eastAsia="ro-MD"/>
        </w:rPr>
        <w:t>Calculating risk-weighted exposure amounts and expected loss amounts for an exposure with an eligible funded credit protection under the IRB Approach</w:t>
      </w:r>
    </w:p>
    <w:p w14:paraId="6947FD3D" w14:textId="42BF695A" w:rsidR="006F667E" w:rsidRPr="00301B0F" w:rsidRDefault="006F667E" w:rsidP="006F667E">
      <w:pPr>
        <w:pStyle w:val="title-article-norm"/>
        <w:shd w:val="clear" w:color="auto" w:fill="FFFFFF"/>
        <w:spacing w:before="0" w:beforeAutospacing="0" w:after="0" w:afterAutospacing="0" w:line="312" w:lineRule="atLeast"/>
        <w:jc w:val="both"/>
        <w:rPr>
          <w:rFonts w:eastAsia="Arial Unicode MS"/>
          <w:i/>
          <w:iCs/>
          <w:color w:val="000000" w:themeColor="text1"/>
          <w:lang w:val="en-GB"/>
        </w:rPr>
      </w:pPr>
      <w:r w:rsidRPr="00301B0F">
        <w:rPr>
          <w:b/>
          <w:bCs/>
          <w:color w:val="000000" w:themeColor="text1"/>
          <w:lang w:val="en-GB"/>
          <w14:ligatures w14:val="none"/>
        </w:rPr>
        <w:t>107</w:t>
      </w:r>
      <w:r w:rsidRPr="00301B0F">
        <w:rPr>
          <w:b/>
          <w:bCs/>
          <w:color w:val="000000" w:themeColor="text1"/>
          <w:vertAlign w:val="superscript"/>
          <w:lang w:val="en-GB"/>
          <w14:ligatures w14:val="none"/>
        </w:rPr>
        <w:t>6</w:t>
      </w:r>
      <w:r w:rsidRPr="00301B0F">
        <w:rPr>
          <w:b/>
          <w:bCs/>
          <w:color w:val="000000" w:themeColor="text1"/>
          <w:lang w:val="en-GB"/>
          <w14:ligatures w14:val="none"/>
        </w:rPr>
        <w:t xml:space="preserve">. </w:t>
      </w:r>
      <w:r w:rsidR="00EB0D06" w:rsidRPr="00301B0F">
        <w:rPr>
          <w:rFonts w:eastAsia="Arial Unicode MS"/>
          <w:color w:val="000000" w:themeColor="text1"/>
          <w:lang w:val="en-GB"/>
        </w:rPr>
        <w:t xml:space="preserve">Under the IRB approach, except for exposures covered by paragraphs 68–72, banks shall use the actual loss given default (LGD*) as the LGD for the purposes of the National Bank of Moldova’s normative act on credit risk treatment under the internal </w:t>
      </w:r>
      <w:proofErr w:type="gramStart"/>
      <w:r w:rsidR="00EB0D06" w:rsidRPr="00301B0F">
        <w:rPr>
          <w:rFonts w:eastAsia="Arial Unicode MS"/>
          <w:color w:val="000000" w:themeColor="text1"/>
          <w:lang w:val="en-GB"/>
        </w:rPr>
        <w:t>ratings</w:t>
      </w:r>
      <w:r w:rsidR="007A1F62">
        <w:rPr>
          <w:rFonts w:eastAsia="Arial Unicode MS"/>
          <w:color w:val="000000" w:themeColor="text1"/>
          <w:lang w:val="en-GB"/>
        </w:rPr>
        <w:t xml:space="preserve"> </w:t>
      </w:r>
      <w:r w:rsidR="00EB0D06" w:rsidRPr="00301B0F">
        <w:rPr>
          <w:rFonts w:eastAsia="Arial Unicode MS"/>
          <w:color w:val="000000" w:themeColor="text1"/>
          <w:lang w:val="en-GB"/>
        </w:rPr>
        <w:t>based</w:t>
      </w:r>
      <w:proofErr w:type="gramEnd"/>
      <w:r w:rsidR="00EB0D06" w:rsidRPr="00301B0F">
        <w:rPr>
          <w:rFonts w:eastAsia="Arial Unicode MS"/>
          <w:color w:val="000000" w:themeColor="text1"/>
          <w:lang w:val="en-GB"/>
        </w:rPr>
        <w:t xml:space="preserve"> approach, in order to recognise the funded credit protection eligible under this Regulation. Banks shall calculate LGD* as follows</w:t>
      </w:r>
      <w:r w:rsidRPr="00301B0F">
        <w:rPr>
          <w:rFonts w:eastAsia="Arial Unicode MS"/>
          <w:color w:val="000000" w:themeColor="text1"/>
          <w:lang w:val="en-GB"/>
        </w:rPr>
        <w:t>:</w:t>
      </w:r>
      <w:r w:rsidRPr="00301B0F">
        <w:rPr>
          <w:color w:val="000000" w:themeColor="text1"/>
          <w:sz w:val="18"/>
          <w:szCs w:val="18"/>
          <w:lang w:val="en-GB"/>
          <w14:ligatures w14:val="none"/>
        </w:rPr>
        <w:t xml:space="preserve"> </w:t>
      </w:r>
    </w:p>
    <w:p w14:paraId="09CAFDEE" w14:textId="77777777" w:rsidR="006F667E" w:rsidRPr="00301B0F"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en-GB"/>
        </w:rPr>
      </w:pPr>
      <w:r w:rsidRPr="00301B0F">
        <w:rPr>
          <w:b/>
          <w:bCs/>
          <w:noProof/>
          <w:color w:val="000000" w:themeColor="text1"/>
          <w:lang w:val="en-GB"/>
        </w:rPr>
        <w:drawing>
          <wp:inline distT="0" distB="0" distL="0" distR="0" wp14:anchorId="0B4891DD" wp14:editId="7A108D12">
            <wp:extent cx="3419475" cy="45720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19475" cy="457200"/>
                    </a:xfrm>
                    <a:prstGeom prst="rect">
                      <a:avLst/>
                    </a:prstGeom>
                    <a:noFill/>
                    <a:ln>
                      <a:noFill/>
                    </a:ln>
                  </pic:spPr>
                </pic:pic>
              </a:graphicData>
            </a:graphic>
          </wp:inline>
        </w:drawing>
      </w:r>
    </w:p>
    <w:p w14:paraId="4B7C5519" w14:textId="1CD06D6E" w:rsidR="006F667E" w:rsidRPr="00301B0F" w:rsidRDefault="00EB0D06" w:rsidP="006F667E">
      <w:pPr>
        <w:pStyle w:val="norm"/>
        <w:shd w:val="clear" w:color="auto" w:fill="FFFFFF"/>
        <w:spacing w:before="0" w:beforeAutospacing="0" w:after="0" w:afterAutospacing="0" w:line="312" w:lineRule="atLeast"/>
        <w:jc w:val="both"/>
        <w:rPr>
          <w:rFonts w:eastAsia="Arial Unicode MS"/>
          <w:color w:val="000000" w:themeColor="text1"/>
          <w:lang w:val="en-GB"/>
        </w:rPr>
      </w:pPr>
      <w:r w:rsidRPr="00301B0F">
        <w:rPr>
          <w:rFonts w:eastAsia="Arial Unicode MS"/>
          <w:color w:val="000000" w:themeColor="text1"/>
          <w:lang w:val="en-GB"/>
        </w:rPr>
        <w:t>where</w:t>
      </w:r>
      <w:r w:rsidR="006F667E" w:rsidRPr="00301B0F">
        <w:rPr>
          <w:rFonts w:eastAsia="Arial Unicode MS"/>
          <w:color w:val="000000" w:themeColor="text1"/>
          <w:lang w:val="en-GB"/>
        </w:rPr>
        <w:t>:</w:t>
      </w:r>
    </w:p>
    <w:tbl>
      <w:tblPr>
        <w:tblW w:w="5000" w:type="pct"/>
        <w:tblCellMar>
          <w:left w:w="0" w:type="dxa"/>
          <w:right w:w="0" w:type="dxa"/>
        </w:tblCellMar>
        <w:tblLook w:val="04A0" w:firstRow="1" w:lastRow="0" w:firstColumn="1" w:lastColumn="0" w:noHBand="0" w:noVBand="1"/>
      </w:tblPr>
      <w:tblGrid>
        <w:gridCol w:w="147"/>
        <w:gridCol w:w="9542"/>
      </w:tblGrid>
      <w:tr w:rsidR="000B2CBE" w:rsidRPr="00301B0F" w14:paraId="0E2D54C4" w14:textId="77777777" w:rsidTr="008D25C5">
        <w:tc>
          <w:tcPr>
            <w:tcW w:w="0" w:type="auto"/>
            <w:hideMark/>
          </w:tcPr>
          <w:p w14:paraId="7BD97E6A" w14:textId="77777777" w:rsidR="006F667E" w:rsidRPr="00301B0F" w:rsidRDefault="006F667E" w:rsidP="008D25C5">
            <w:pPr>
              <w:pStyle w:val="dlist-term"/>
              <w:spacing w:before="0" w:beforeAutospacing="0" w:after="0" w:afterAutospacing="0" w:line="312" w:lineRule="atLeast"/>
              <w:rPr>
                <w:color w:val="000000" w:themeColor="text1"/>
                <w:lang w:val="en-GB"/>
              </w:rPr>
            </w:pPr>
            <w:r w:rsidRPr="00301B0F">
              <w:rPr>
                <w:color w:val="000000" w:themeColor="text1"/>
                <w:lang w:val="en-GB"/>
              </w:rPr>
              <w:t>E</w:t>
            </w:r>
          </w:p>
        </w:tc>
        <w:tc>
          <w:tcPr>
            <w:tcW w:w="0" w:type="auto"/>
            <w:hideMark/>
          </w:tcPr>
          <w:p w14:paraId="61D39CA5" w14:textId="024E5922" w:rsidR="006F667E" w:rsidRPr="00301B0F" w:rsidRDefault="006F667E" w:rsidP="008D25C5">
            <w:pPr>
              <w:pStyle w:val="norm"/>
              <w:spacing w:before="0" w:beforeAutospacing="0" w:after="0" w:afterAutospacing="0" w:line="312" w:lineRule="atLeast"/>
              <w:jc w:val="both"/>
              <w:rPr>
                <w:color w:val="000000" w:themeColor="text1"/>
                <w:lang w:val="en-GB"/>
              </w:rPr>
            </w:pPr>
            <w:r w:rsidRPr="00301B0F">
              <w:rPr>
                <w:color w:val="000000" w:themeColor="text1"/>
                <w:lang w:val="en-GB"/>
              </w:rPr>
              <w:t xml:space="preserve">= </w:t>
            </w:r>
            <w:r w:rsidR="00EB0D06" w:rsidRPr="00301B0F">
              <w:rPr>
                <w:color w:val="000000" w:themeColor="text1"/>
                <w:lang w:val="en-GB"/>
              </w:rPr>
              <w:t>the exposure value before taking into account the effect of funded credit protection; for an exposure secured by eligible financial collateral in accordance with this Regulation, that amount shall be calculated in accordance with paragraphs 89–90; in the case of securities lent or provided as collateral, that amount is equal to the cash lent or the securities lent or provided as collateral; in the case of securities lent or provided as collateral, the exposure value is increased by applying the volatility adjustment (HE) in accordance with Sections 5–8 of this chapter</w:t>
            </w:r>
            <w:r w:rsidRPr="00301B0F">
              <w:rPr>
                <w:color w:val="000000" w:themeColor="text1"/>
                <w:lang w:val="en-GB"/>
              </w:rPr>
              <w:t>;</w:t>
            </w:r>
          </w:p>
        </w:tc>
      </w:tr>
    </w:tbl>
    <w:p w14:paraId="7C19891D" w14:textId="77777777" w:rsidR="006F667E" w:rsidRPr="00301B0F" w:rsidRDefault="006F667E" w:rsidP="006F667E">
      <w:pPr>
        <w:shd w:val="clear" w:color="auto" w:fill="FFFFFF"/>
        <w:rPr>
          <w:rFonts w:eastAsia="Arial Unicode MS"/>
          <w:vanish/>
          <w:color w:val="000000" w:themeColor="text1"/>
          <w:lang w:val="en-GB"/>
        </w:rPr>
      </w:pPr>
    </w:p>
    <w:tbl>
      <w:tblPr>
        <w:tblW w:w="5000" w:type="pct"/>
        <w:tblCellMar>
          <w:left w:w="0" w:type="dxa"/>
          <w:right w:w="0" w:type="dxa"/>
        </w:tblCellMar>
        <w:tblLook w:val="04A0" w:firstRow="1" w:lastRow="0" w:firstColumn="1" w:lastColumn="0" w:noHBand="0" w:noVBand="1"/>
      </w:tblPr>
      <w:tblGrid>
        <w:gridCol w:w="236"/>
        <w:gridCol w:w="9453"/>
      </w:tblGrid>
      <w:tr w:rsidR="000B2CBE" w:rsidRPr="00301B0F" w14:paraId="44DD483E" w14:textId="77777777" w:rsidTr="008D25C5">
        <w:tc>
          <w:tcPr>
            <w:tcW w:w="0" w:type="auto"/>
            <w:hideMark/>
          </w:tcPr>
          <w:p w14:paraId="7AAE1A4A" w14:textId="77777777" w:rsidR="006F667E" w:rsidRPr="00301B0F" w:rsidRDefault="006F667E" w:rsidP="008D25C5">
            <w:pPr>
              <w:pStyle w:val="dlist-term"/>
              <w:spacing w:before="0" w:beforeAutospacing="0" w:after="0" w:afterAutospacing="0" w:line="312" w:lineRule="atLeast"/>
              <w:rPr>
                <w:color w:val="000000" w:themeColor="text1"/>
                <w:lang w:val="en-GB"/>
              </w:rPr>
            </w:pPr>
            <w:r w:rsidRPr="00301B0F">
              <w:rPr>
                <w:color w:val="000000" w:themeColor="text1"/>
                <w:lang w:val="en-GB"/>
              </w:rPr>
              <w:t>E</w:t>
            </w:r>
            <w:r w:rsidRPr="00301B0F">
              <w:rPr>
                <w:rStyle w:val="subscript"/>
                <w:color w:val="000000" w:themeColor="text1"/>
                <w:vertAlign w:val="subscript"/>
                <w:lang w:val="en-GB"/>
              </w:rPr>
              <w:t>S</w:t>
            </w:r>
          </w:p>
        </w:tc>
        <w:tc>
          <w:tcPr>
            <w:tcW w:w="0" w:type="auto"/>
            <w:hideMark/>
          </w:tcPr>
          <w:p w14:paraId="0433735C" w14:textId="40A0A83E" w:rsidR="006F667E" w:rsidRPr="00301B0F" w:rsidRDefault="006F667E" w:rsidP="008D25C5">
            <w:pPr>
              <w:pStyle w:val="norm"/>
              <w:spacing w:before="0" w:beforeAutospacing="0" w:after="0" w:afterAutospacing="0" w:line="312" w:lineRule="atLeast"/>
              <w:jc w:val="both"/>
              <w:rPr>
                <w:color w:val="000000" w:themeColor="text1"/>
                <w:lang w:val="en-GB"/>
              </w:rPr>
            </w:pPr>
            <w:r w:rsidRPr="00301B0F">
              <w:rPr>
                <w:color w:val="000000" w:themeColor="text1"/>
                <w:lang w:val="en-GB"/>
              </w:rPr>
              <w:t xml:space="preserve">= </w:t>
            </w:r>
            <w:r w:rsidR="00EB0D06" w:rsidRPr="00301B0F">
              <w:rPr>
                <w:color w:val="000000" w:themeColor="text1"/>
                <w:lang w:val="en-GB"/>
              </w:rPr>
              <w:t>the current value of the funded credit protection received after applying the volatility adjustment applicable to that type of funded credit protection (H</w:t>
            </w:r>
            <w:r w:rsidR="00EB0D06" w:rsidRPr="00301B0F">
              <w:rPr>
                <w:rStyle w:val="subscript"/>
                <w:color w:val="000000" w:themeColor="text1"/>
                <w:vertAlign w:val="subscript"/>
                <w:lang w:val="en-GB"/>
              </w:rPr>
              <w:t>C</w:t>
            </w:r>
            <w:r w:rsidR="00EB0D06" w:rsidRPr="00301B0F">
              <w:rPr>
                <w:color w:val="000000" w:themeColor="text1"/>
                <w:lang w:val="en-GB"/>
              </w:rPr>
              <w:t>) and the volatility adjustment for currency mismatches (</w:t>
            </w:r>
            <w:proofErr w:type="spellStart"/>
            <w:r w:rsidR="00EB0D06" w:rsidRPr="00301B0F">
              <w:rPr>
                <w:color w:val="000000" w:themeColor="text1"/>
                <w:lang w:val="en-GB"/>
              </w:rPr>
              <w:t>H</w:t>
            </w:r>
            <w:r w:rsidR="00EB0D06" w:rsidRPr="00301B0F">
              <w:rPr>
                <w:rStyle w:val="subscript"/>
                <w:color w:val="000000" w:themeColor="text1"/>
                <w:vertAlign w:val="subscript"/>
                <w:lang w:val="en-GB"/>
              </w:rPr>
              <w:t>fx</w:t>
            </w:r>
            <w:proofErr w:type="spellEnd"/>
            <w:r w:rsidR="00EB0D06" w:rsidRPr="00301B0F">
              <w:rPr>
                <w:color w:val="000000" w:themeColor="text1"/>
                <w:lang w:val="en-GB"/>
              </w:rPr>
              <w:t>) between the exposure and the funded credit protection, in accordance with paragraphs 107</w:t>
            </w:r>
            <w:r w:rsidR="00EB0D06" w:rsidRPr="00301B0F">
              <w:rPr>
                <w:color w:val="000000" w:themeColor="text1"/>
                <w:vertAlign w:val="superscript"/>
                <w:lang w:val="en-GB"/>
              </w:rPr>
              <w:t>7</w:t>
            </w:r>
            <w:r w:rsidR="00EB0D06" w:rsidRPr="00301B0F">
              <w:rPr>
                <w:color w:val="000000" w:themeColor="text1"/>
                <w:lang w:val="en-GB"/>
              </w:rPr>
              <w:t>-107</w:t>
            </w:r>
            <w:r w:rsidR="00EB0D06" w:rsidRPr="00301B0F">
              <w:rPr>
                <w:color w:val="000000" w:themeColor="text1"/>
                <w:vertAlign w:val="superscript"/>
                <w:lang w:val="en-GB"/>
              </w:rPr>
              <w:t>8</w:t>
            </w:r>
            <w:r w:rsidR="00EB0D06" w:rsidRPr="00301B0F">
              <w:rPr>
                <w:color w:val="000000" w:themeColor="text1"/>
                <w:lang w:val="en-GB"/>
              </w:rPr>
              <w:t>; E</w:t>
            </w:r>
            <w:r w:rsidR="00EB0D06" w:rsidRPr="00301B0F">
              <w:rPr>
                <w:rStyle w:val="subscript"/>
                <w:color w:val="000000" w:themeColor="text1"/>
                <w:vertAlign w:val="subscript"/>
                <w:lang w:val="en-GB"/>
              </w:rPr>
              <w:t>S</w:t>
            </w:r>
            <w:r w:rsidR="00EB0D06" w:rsidRPr="00301B0F">
              <w:rPr>
                <w:color w:val="000000" w:themeColor="text1"/>
                <w:lang w:val="en-GB"/>
              </w:rPr>
              <w:t> is capped at the following value: E·(1+H</w:t>
            </w:r>
            <w:r w:rsidR="00EB0D06" w:rsidRPr="00301B0F">
              <w:rPr>
                <w:rStyle w:val="subscript"/>
                <w:color w:val="000000" w:themeColor="text1"/>
                <w:vertAlign w:val="subscript"/>
                <w:lang w:val="en-GB"/>
              </w:rPr>
              <w:t>E</w:t>
            </w:r>
            <w:r w:rsidRPr="00301B0F">
              <w:rPr>
                <w:color w:val="000000" w:themeColor="text1"/>
                <w:lang w:val="en-GB"/>
              </w:rPr>
              <w:t>);</w:t>
            </w:r>
          </w:p>
        </w:tc>
      </w:tr>
    </w:tbl>
    <w:p w14:paraId="782958B9" w14:textId="77777777" w:rsidR="006F667E" w:rsidRPr="00301B0F" w:rsidRDefault="006F667E" w:rsidP="006F667E">
      <w:pPr>
        <w:shd w:val="clear" w:color="auto" w:fill="FFFFFF"/>
        <w:rPr>
          <w:rFonts w:eastAsia="Arial Unicode MS"/>
          <w:vanish/>
          <w:color w:val="000000" w:themeColor="text1"/>
          <w:lang w:val="en-GB"/>
        </w:rPr>
      </w:pPr>
    </w:p>
    <w:tbl>
      <w:tblPr>
        <w:tblW w:w="5000" w:type="pct"/>
        <w:tblCellMar>
          <w:left w:w="0" w:type="dxa"/>
          <w:right w:w="0" w:type="dxa"/>
        </w:tblCellMar>
        <w:tblLook w:val="04A0" w:firstRow="1" w:lastRow="0" w:firstColumn="1" w:lastColumn="0" w:noHBand="0" w:noVBand="1"/>
      </w:tblPr>
      <w:tblGrid>
        <w:gridCol w:w="734"/>
        <w:gridCol w:w="8955"/>
      </w:tblGrid>
      <w:tr w:rsidR="000B2CBE" w:rsidRPr="00301B0F" w14:paraId="5F7DF2BE" w14:textId="77777777" w:rsidTr="008D25C5">
        <w:tc>
          <w:tcPr>
            <w:tcW w:w="379" w:type="pct"/>
            <w:hideMark/>
          </w:tcPr>
          <w:p w14:paraId="653DA81E" w14:textId="77777777" w:rsidR="006F667E" w:rsidRPr="00301B0F" w:rsidRDefault="006F667E" w:rsidP="008D25C5">
            <w:pPr>
              <w:pStyle w:val="dlist-term"/>
              <w:spacing w:before="0" w:beforeAutospacing="0" w:after="0" w:afterAutospacing="0" w:line="312" w:lineRule="atLeast"/>
              <w:rPr>
                <w:color w:val="000000" w:themeColor="text1"/>
                <w:lang w:val="en-GB"/>
              </w:rPr>
            </w:pPr>
            <w:r w:rsidRPr="00301B0F">
              <w:rPr>
                <w:color w:val="000000" w:themeColor="text1"/>
                <w:lang w:val="en-GB"/>
              </w:rPr>
              <w:t>E</w:t>
            </w:r>
            <w:r w:rsidRPr="00301B0F">
              <w:rPr>
                <w:rStyle w:val="subscript"/>
                <w:color w:val="000000" w:themeColor="text1"/>
                <w:vertAlign w:val="subscript"/>
                <w:lang w:val="en-GB"/>
              </w:rPr>
              <w:t>U</w:t>
            </w:r>
          </w:p>
        </w:tc>
        <w:tc>
          <w:tcPr>
            <w:tcW w:w="4621" w:type="pct"/>
            <w:hideMark/>
          </w:tcPr>
          <w:p w14:paraId="09676AEE" w14:textId="77777777" w:rsidR="006F667E" w:rsidRPr="00301B0F" w:rsidRDefault="006F667E" w:rsidP="008D25C5">
            <w:pPr>
              <w:pStyle w:val="norm"/>
              <w:spacing w:before="0" w:beforeAutospacing="0" w:after="0" w:afterAutospacing="0" w:line="312" w:lineRule="atLeast"/>
              <w:jc w:val="both"/>
              <w:rPr>
                <w:color w:val="000000" w:themeColor="text1"/>
                <w:lang w:val="en-GB"/>
              </w:rPr>
            </w:pPr>
            <w:r w:rsidRPr="00301B0F">
              <w:rPr>
                <w:color w:val="000000" w:themeColor="text1"/>
                <w:lang w:val="en-GB"/>
              </w:rPr>
              <w:t>= E·(1+H</w:t>
            </w:r>
            <w:r w:rsidRPr="00301B0F">
              <w:rPr>
                <w:rStyle w:val="subscript"/>
                <w:color w:val="000000" w:themeColor="text1"/>
                <w:vertAlign w:val="subscript"/>
                <w:lang w:val="en-GB"/>
              </w:rPr>
              <w:t>E</w:t>
            </w:r>
            <w:r w:rsidRPr="00301B0F">
              <w:rPr>
                <w:color w:val="000000" w:themeColor="text1"/>
                <w:lang w:val="en-GB"/>
              </w:rPr>
              <w:t>) – E</w:t>
            </w:r>
            <w:r w:rsidRPr="00301B0F">
              <w:rPr>
                <w:rStyle w:val="subscript"/>
                <w:color w:val="000000" w:themeColor="text1"/>
                <w:vertAlign w:val="subscript"/>
                <w:lang w:val="en-GB"/>
              </w:rPr>
              <w:t>S</w:t>
            </w:r>
            <w:r w:rsidRPr="00301B0F">
              <w:rPr>
                <w:color w:val="000000" w:themeColor="text1"/>
                <w:lang w:val="en-GB"/>
              </w:rPr>
              <w:t>;</w:t>
            </w:r>
          </w:p>
        </w:tc>
      </w:tr>
    </w:tbl>
    <w:p w14:paraId="7DD64B65" w14:textId="77777777" w:rsidR="006F667E" w:rsidRPr="00301B0F" w:rsidRDefault="006F667E" w:rsidP="006F667E">
      <w:pPr>
        <w:shd w:val="clear" w:color="auto" w:fill="FFFFFF"/>
        <w:rPr>
          <w:rFonts w:eastAsia="Arial Unicode MS"/>
          <w:vanish/>
          <w:color w:val="000000" w:themeColor="text1"/>
          <w:lang w:val="en-GB"/>
        </w:rPr>
      </w:pPr>
    </w:p>
    <w:tbl>
      <w:tblPr>
        <w:tblW w:w="5000" w:type="pct"/>
        <w:tblCellMar>
          <w:left w:w="0" w:type="dxa"/>
          <w:right w:w="0" w:type="dxa"/>
        </w:tblCellMar>
        <w:tblLook w:val="04A0" w:firstRow="1" w:lastRow="0" w:firstColumn="1" w:lastColumn="0" w:noHBand="0" w:noVBand="1"/>
      </w:tblPr>
      <w:tblGrid>
        <w:gridCol w:w="609"/>
        <w:gridCol w:w="6"/>
        <w:gridCol w:w="9074"/>
      </w:tblGrid>
      <w:tr w:rsidR="001F09D3" w:rsidRPr="00301B0F" w14:paraId="30E4DB41" w14:textId="77777777" w:rsidTr="001F09D3">
        <w:tc>
          <w:tcPr>
            <w:tcW w:w="0" w:type="auto"/>
            <w:hideMark/>
          </w:tcPr>
          <w:p w14:paraId="211762DF" w14:textId="77777777" w:rsidR="001F09D3" w:rsidRPr="00301B0F" w:rsidRDefault="001F09D3" w:rsidP="008D25C5">
            <w:pPr>
              <w:pStyle w:val="dlist-term"/>
              <w:spacing w:before="0" w:beforeAutospacing="0" w:after="0" w:afterAutospacing="0" w:line="312" w:lineRule="atLeast"/>
              <w:rPr>
                <w:color w:val="000000" w:themeColor="text1"/>
                <w:lang w:val="en-GB"/>
              </w:rPr>
            </w:pPr>
            <w:r w:rsidRPr="00301B0F">
              <w:rPr>
                <w:color w:val="000000" w:themeColor="text1"/>
                <w:lang w:val="en-GB"/>
              </w:rPr>
              <w:t>LGD</w:t>
            </w:r>
            <w:r w:rsidRPr="00301B0F">
              <w:rPr>
                <w:rStyle w:val="subscript"/>
                <w:color w:val="000000" w:themeColor="text1"/>
                <w:vertAlign w:val="subscript"/>
                <w:lang w:val="en-GB"/>
              </w:rPr>
              <w:t>U</w:t>
            </w:r>
          </w:p>
        </w:tc>
        <w:tc>
          <w:tcPr>
            <w:tcW w:w="0" w:type="auto"/>
          </w:tcPr>
          <w:p w14:paraId="0778DD6D" w14:textId="77777777" w:rsidR="001F09D3" w:rsidRPr="00301B0F" w:rsidRDefault="001F09D3" w:rsidP="008D25C5">
            <w:pPr>
              <w:pStyle w:val="norm"/>
              <w:spacing w:before="0" w:beforeAutospacing="0" w:after="0" w:afterAutospacing="0" w:line="312" w:lineRule="atLeast"/>
              <w:jc w:val="both"/>
              <w:rPr>
                <w:color w:val="000000" w:themeColor="text1"/>
                <w:lang w:val="en-GB"/>
              </w:rPr>
            </w:pPr>
          </w:p>
        </w:tc>
        <w:tc>
          <w:tcPr>
            <w:tcW w:w="0" w:type="auto"/>
            <w:hideMark/>
          </w:tcPr>
          <w:p w14:paraId="1938BE2F" w14:textId="663E84C8" w:rsidR="001F09D3" w:rsidRPr="00301B0F" w:rsidRDefault="001F09D3" w:rsidP="008D25C5">
            <w:pPr>
              <w:pStyle w:val="norm"/>
              <w:spacing w:before="0" w:beforeAutospacing="0" w:after="0" w:afterAutospacing="0" w:line="312" w:lineRule="atLeast"/>
              <w:jc w:val="both"/>
              <w:rPr>
                <w:color w:val="000000" w:themeColor="text1"/>
                <w:lang w:val="en-GB"/>
              </w:rPr>
            </w:pPr>
            <w:r w:rsidRPr="00301B0F">
              <w:rPr>
                <w:color w:val="000000" w:themeColor="text1"/>
                <w:lang w:val="en-GB"/>
              </w:rPr>
              <w:t xml:space="preserve">= the applicable LGD for an unsecured exposure, as provided for in the National Bank of Moldova’s regulatory act on the treatment of credit risk under the internal </w:t>
            </w:r>
            <w:proofErr w:type="gramStart"/>
            <w:r w:rsidRPr="00301B0F">
              <w:rPr>
                <w:color w:val="000000" w:themeColor="text1"/>
                <w:lang w:val="en-GB"/>
              </w:rPr>
              <w:t>ratings</w:t>
            </w:r>
            <w:r>
              <w:rPr>
                <w:color w:val="000000" w:themeColor="text1"/>
                <w:lang w:val="en-GB"/>
              </w:rPr>
              <w:t xml:space="preserve"> </w:t>
            </w:r>
            <w:r w:rsidRPr="00301B0F">
              <w:rPr>
                <w:color w:val="000000" w:themeColor="text1"/>
                <w:lang w:val="en-GB"/>
              </w:rPr>
              <w:t>based</w:t>
            </w:r>
            <w:proofErr w:type="gramEnd"/>
            <w:r w:rsidRPr="00301B0F">
              <w:rPr>
                <w:color w:val="000000" w:themeColor="text1"/>
                <w:lang w:val="en-GB"/>
              </w:rPr>
              <w:t xml:space="preserve"> approach</w:t>
            </w:r>
            <w:r w:rsidRPr="00301B0F">
              <w:rPr>
                <w:color w:val="000000" w:themeColor="text1"/>
                <w:sz w:val="18"/>
                <w:szCs w:val="18"/>
                <w:lang w:val="en-GB"/>
              </w:rPr>
              <w:t>;</w:t>
            </w:r>
          </w:p>
        </w:tc>
      </w:tr>
    </w:tbl>
    <w:p w14:paraId="56BC1FB5" w14:textId="77777777" w:rsidR="006F667E" w:rsidRPr="00301B0F" w:rsidRDefault="006F667E" w:rsidP="006F667E">
      <w:pPr>
        <w:shd w:val="clear" w:color="auto" w:fill="FFFFFF"/>
        <w:rPr>
          <w:rFonts w:eastAsia="Arial Unicode MS"/>
          <w:vanish/>
          <w:color w:val="000000" w:themeColor="text1"/>
          <w:lang w:val="en-GB"/>
        </w:rPr>
      </w:pPr>
    </w:p>
    <w:tbl>
      <w:tblPr>
        <w:tblW w:w="5000" w:type="pct"/>
        <w:tblCellMar>
          <w:left w:w="0" w:type="dxa"/>
          <w:right w:w="0" w:type="dxa"/>
        </w:tblCellMar>
        <w:tblLook w:val="04A0" w:firstRow="1" w:lastRow="0" w:firstColumn="1" w:lastColumn="0" w:noHBand="0" w:noVBand="1"/>
      </w:tblPr>
      <w:tblGrid>
        <w:gridCol w:w="583"/>
        <w:gridCol w:w="9106"/>
      </w:tblGrid>
      <w:tr w:rsidR="000B2CBE" w:rsidRPr="00301B0F" w14:paraId="7EAC699D" w14:textId="77777777" w:rsidTr="008D25C5">
        <w:tc>
          <w:tcPr>
            <w:tcW w:w="0" w:type="auto"/>
            <w:hideMark/>
          </w:tcPr>
          <w:p w14:paraId="0A194D75" w14:textId="77777777" w:rsidR="006F667E" w:rsidRPr="00301B0F" w:rsidRDefault="006F667E" w:rsidP="008D25C5">
            <w:pPr>
              <w:pStyle w:val="dlist-term"/>
              <w:spacing w:before="0" w:beforeAutospacing="0" w:after="0" w:afterAutospacing="0" w:line="312" w:lineRule="atLeast"/>
              <w:rPr>
                <w:color w:val="000000" w:themeColor="text1"/>
                <w:lang w:val="en-GB"/>
              </w:rPr>
            </w:pPr>
            <w:r w:rsidRPr="00301B0F">
              <w:rPr>
                <w:color w:val="000000" w:themeColor="text1"/>
                <w:lang w:val="en-GB"/>
              </w:rPr>
              <w:t>LGD</w:t>
            </w:r>
            <w:r w:rsidRPr="00301B0F">
              <w:rPr>
                <w:rStyle w:val="subscript"/>
                <w:color w:val="000000" w:themeColor="text1"/>
                <w:vertAlign w:val="subscript"/>
                <w:lang w:val="en-GB"/>
              </w:rPr>
              <w:t>S</w:t>
            </w:r>
          </w:p>
        </w:tc>
        <w:tc>
          <w:tcPr>
            <w:tcW w:w="0" w:type="auto"/>
            <w:hideMark/>
          </w:tcPr>
          <w:p w14:paraId="07BD27CC" w14:textId="04129DAA" w:rsidR="006F667E" w:rsidRPr="00301B0F" w:rsidRDefault="006F667E" w:rsidP="008D25C5">
            <w:pPr>
              <w:pStyle w:val="norm"/>
              <w:spacing w:before="0" w:beforeAutospacing="0" w:after="0" w:afterAutospacing="0" w:line="312" w:lineRule="atLeast"/>
              <w:jc w:val="both"/>
              <w:rPr>
                <w:color w:val="000000" w:themeColor="text1"/>
                <w:lang w:val="en-GB"/>
              </w:rPr>
            </w:pPr>
            <w:r w:rsidRPr="00301B0F">
              <w:rPr>
                <w:color w:val="000000" w:themeColor="text1"/>
                <w:lang w:val="en-GB"/>
              </w:rPr>
              <w:t xml:space="preserve">= </w:t>
            </w:r>
            <w:r w:rsidR="00EB0D06" w:rsidRPr="00301B0F">
              <w:rPr>
                <w:color w:val="000000" w:themeColor="text1"/>
                <w:lang w:val="en-GB"/>
              </w:rPr>
              <w:t>the applicable LGD for exposures secured by eligible funded credit protection (FCP) used in the transaction, as specified in Table 5</w:t>
            </w:r>
            <w:r w:rsidRPr="00301B0F">
              <w:rPr>
                <w:color w:val="000000" w:themeColor="text1"/>
                <w:lang w:val="en-GB"/>
              </w:rPr>
              <w:t>.</w:t>
            </w:r>
          </w:p>
        </w:tc>
      </w:tr>
    </w:tbl>
    <w:p w14:paraId="375CA831" w14:textId="3EE809B2" w:rsidR="006F667E" w:rsidRPr="00301B0F" w:rsidRDefault="006F667E" w:rsidP="006F667E">
      <w:pPr>
        <w:shd w:val="clear" w:color="auto" w:fill="FFFFFF"/>
        <w:rPr>
          <w:rFonts w:eastAsia="Arial Unicode MS"/>
          <w:color w:val="000000" w:themeColor="text1"/>
          <w:lang w:val="en-GB"/>
        </w:rPr>
      </w:pPr>
      <w:r w:rsidRPr="00301B0F">
        <w:rPr>
          <w:b/>
          <w:bCs/>
          <w:color w:val="000000" w:themeColor="text1"/>
          <w:lang w:val="en-GB"/>
        </w:rPr>
        <w:t>107</w:t>
      </w:r>
      <w:r w:rsidRPr="00301B0F">
        <w:rPr>
          <w:b/>
          <w:bCs/>
          <w:color w:val="000000" w:themeColor="text1"/>
          <w:vertAlign w:val="superscript"/>
          <w:lang w:val="en-GB"/>
        </w:rPr>
        <w:t>7</w:t>
      </w:r>
      <w:r w:rsidRPr="00301B0F">
        <w:rPr>
          <w:b/>
          <w:bCs/>
          <w:color w:val="000000" w:themeColor="text1"/>
          <w:lang w:val="en-GB"/>
        </w:rPr>
        <w:t xml:space="preserve">. </w:t>
      </w:r>
      <w:r w:rsidR="00EB0D06" w:rsidRPr="00301B0F">
        <w:rPr>
          <w:rFonts w:eastAsia="Arial Unicode MS"/>
          <w:color w:val="000000" w:themeColor="text1"/>
          <w:lang w:val="en-GB"/>
        </w:rPr>
        <w:t xml:space="preserve">Table 5 specifies the LGD and </w:t>
      </w:r>
      <w:proofErr w:type="spellStart"/>
      <w:r w:rsidR="00EB0D06" w:rsidRPr="00301B0F">
        <w:rPr>
          <w:rFonts w:eastAsia="Arial Unicode MS"/>
          <w:color w:val="000000" w:themeColor="text1"/>
          <w:lang w:val="en-GB"/>
        </w:rPr>
        <w:t>H</w:t>
      </w:r>
      <w:r w:rsidR="00EB0D06" w:rsidRPr="00301B0F">
        <w:rPr>
          <w:rStyle w:val="subscript"/>
          <w:rFonts w:eastAsia="Arial Unicode MS"/>
          <w:color w:val="000000" w:themeColor="text1"/>
          <w:vertAlign w:val="subscript"/>
          <w:lang w:val="en-GB"/>
        </w:rPr>
        <w:t>c</w:t>
      </w:r>
      <w:proofErr w:type="spellEnd"/>
      <w:r w:rsidR="00EB0D06" w:rsidRPr="00301B0F">
        <w:rPr>
          <w:rFonts w:eastAsia="Arial Unicode MS"/>
          <w:color w:val="000000" w:themeColor="text1"/>
          <w:lang w:val="en-GB"/>
        </w:rPr>
        <w:t xml:space="preserve"> values applicable in the formula set forth in paragraph </w:t>
      </w:r>
      <w:r w:rsidRPr="00301B0F">
        <w:rPr>
          <w:rFonts w:eastAsia="Arial Unicode MS"/>
          <w:color w:val="000000" w:themeColor="text1"/>
          <w:lang w:val="en-GB"/>
        </w:rPr>
        <w:t>107</w:t>
      </w:r>
      <w:r w:rsidRPr="00301B0F">
        <w:rPr>
          <w:rFonts w:eastAsia="Arial Unicode MS"/>
          <w:color w:val="000000" w:themeColor="text1"/>
          <w:vertAlign w:val="superscript"/>
          <w:lang w:val="en-GB"/>
        </w:rPr>
        <w:t>6</w:t>
      </w:r>
      <w:r w:rsidRPr="00301B0F">
        <w:rPr>
          <w:rFonts w:eastAsia="Arial Unicode MS"/>
          <w:color w:val="000000" w:themeColor="text1"/>
          <w:lang w:val="en-GB"/>
        </w:rPr>
        <w:t>.</w:t>
      </w:r>
    </w:p>
    <w:p w14:paraId="78AD38E3" w14:textId="3A96F1A1" w:rsidR="006F667E" w:rsidRPr="00301B0F" w:rsidRDefault="00EB0D06" w:rsidP="00EB0D06">
      <w:pPr>
        <w:pStyle w:val="title-table"/>
        <w:shd w:val="clear" w:color="auto" w:fill="FFFFFF"/>
        <w:spacing w:before="0" w:beforeAutospacing="0" w:after="120" w:afterAutospacing="0" w:line="312" w:lineRule="atLeast"/>
        <w:ind w:right="566"/>
        <w:jc w:val="right"/>
        <w:rPr>
          <w:rFonts w:eastAsia="Arial Unicode MS"/>
          <w:b/>
          <w:bCs/>
          <w:color w:val="000000" w:themeColor="text1"/>
          <w:lang w:val="en-GB"/>
        </w:rPr>
      </w:pPr>
      <w:r w:rsidRPr="00301B0F">
        <w:rPr>
          <w:rFonts w:eastAsia="Arial Unicode MS"/>
          <w:b/>
          <w:bCs/>
          <w:color w:val="000000" w:themeColor="text1"/>
          <w:lang w:val="en-GB"/>
        </w:rPr>
        <w:t>Table 5</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36"/>
        <w:gridCol w:w="670"/>
        <w:gridCol w:w="4309"/>
      </w:tblGrid>
      <w:tr w:rsidR="00EB0D06" w:rsidRPr="00301B0F" w14:paraId="7C28EFE5"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286C5B8C" w14:textId="444C5E91" w:rsidR="00EB0D06" w:rsidRPr="00301B0F" w:rsidRDefault="00EB0D06" w:rsidP="00EB0D06">
            <w:pPr>
              <w:pStyle w:val="tbl-norm"/>
              <w:spacing w:before="0" w:beforeAutospacing="0" w:after="0" w:afterAutospacing="0" w:line="312" w:lineRule="atLeast"/>
              <w:jc w:val="both"/>
              <w:rPr>
                <w:b/>
                <w:bCs/>
                <w:color w:val="000000" w:themeColor="text1"/>
                <w:lang w:val="en-GB"/>
              </w:rPr>
            </w:pPr>
            <w:r w:rsidRPr="00301B0F">
              <w:rPr>
                <w:b/>
                <w:bCs/>
                <w:color w:val="000000" w:themeColor="text1"/>
                <w:lang w:val="en-GB"/>
              </w:rPr>
              <w:t>Type of FCP</w:t>
            </w:r>
          </w:p>
        </w:tc>
        <w:tc>
          <w:tcPr>
            <w:tcW w:w="0" w:type="auto"/>
            <w:tcBorders>
              <w:top w:val="outset" w:sz="6" w:space="0" w:color="auto"/>
              <w:left w:val="outset" w:sz="6" w:space="0" w:color="auto"/>
              <w:bottom w:val="outset" w:sz="6" w:space="0" w:color="auto"/>
              <w:right w:val="outset" w:sz="6" w:space="0" w:color="auto"/>
            </w:tcBorders>
            <w:hideMark/>
          </w:tcPr>
          <w:p w14:paraId="6000BFBB" w14:textId="3BC20E9A" w:rsidR="00EB0D06" w:rsidRPr="00301B0F" w:rsidRDefault="00EB0D06" w:rsidP="00EB0D06">
            <w:pPr>
              <w:pStyle w:val="tbl-norm"/>
              <w:spacing w:before="0" w:beforeAutospacing="0" w:after="0" w:afterAutospacing="0" w:line="312" w:lineRule="atLeast"/>
              <w:jc w:val="both"/>
              <w:rPr>
                <w:b/>
                <w:bCs/>
                <w:color w:val="000000" w:themeColor="text1"/>
                <w:lang w:val="en-GB"/>
              </w:rPr>
            </w:pPr>
            <w:r w:rsidRPr="00301B0F">
              <w:rPr>
                <w:b/>
                <w:bCs/>
                <w:color w:val="000000" w:themeColor="text1"/>
                <w:lang w:val="en-GB"/>
              </w:rPr>
              <w:t>LGD</w:t>
            </w:r>
            <w:r w:rsidRPr="00301B0F">
              <w:rPr>
                <w:rStyle w:val="subscript"/>
                <w:b/>
                <w:bCs/>
                <w:color w:val="000000" w:themeColor="text1"/>
                <w:vertAlign w:val="subscript"/>
                <w:lang w:val="en-GB"/>
              </w:rPr>
              <w:t>S</w:t>
            </w:r>
          </w:p>
        </w:tc>
        <w:tc>
          <w:tcPr>
            <w:tcW w:w="0" w:type="auto"/>
            <w:tcBorders>
              <w:top w:val="outset" w:sz="6" w:space="0" w:color="auto"/>
              <w:left w:val="outset" w:sz="6" w:space="0" w:color="auto"/>
              <w:bottom w:val="outset" w:sz="6" w:space="0" w:color="auto"/>
              <w:right w:val="outset" w:sz="6" w:space="0" w:color="auto"/>
            </w:tcBorders>
            <w:hideMark/>
          </w:tcPr>
          <w:p w14:paraId="17C859C7" w14:textId="6AFCCB83" w:rsidR="00EB0D06" w:rsidRPr="00301B0F" w:rsidRDefault="00EB0D06" w:rsidP="00EB0D06">
            <w:pPr>
              <w:pStyle w:val="tbl-norm"/>
              <w:spacing w:before="0" w:beforeAutospacing="0" w:after="0" w:afterAutospacing="0" w:line="312" w:lineRule="atLeast"/>
              <w:jc w:val="both"/>
              <w:rPr>
                <w:b/>
                <w:bCs/>
                <w:color w:val="000000" w:themeColor="text1"/>
                <w:lang w:val="en-GB"/>
              </w:rPr>
            </w:pPr>
            <w:r w:rsidRPr="00301B0F">
              <w:rPr>
                <w:b/>
                <w:bCs/>
                <w:color w:val="000000" w:themeColor="text1"/>
                <w:lang w:val="en-GB"/>
              </w:rPr>
              <w:t>Volatility adjustment (</w:t>
            </w:r>
            <w:proofErr w:type="spellStart"/>
            <w:r w:rsidRPr="00301B0F">
              <w:rPr>
                <w:b/>
                <w:bCs/>
                <w:color w:val="000000" w:themeColor="text1"/>
                <w:lang w:val="en-GB"/>
              </w:rPr>
              <w:t>H</w:t>
            </w:r>
            <w:r w:rsidRPr="00301B0F">
              <w:rPr>
                <w:rStyle w:val="subscript"/>
                <w:b/>
                <w:bCs/>
                <w:color w:val="000000" w:themeColor="text1"/>
                <w:vertAlign w:val="subscript"/>
                <w:lang w:val="en-GB"/>
              </w:rPr>
              <w:t>c</w:t>
            </w:r>
            <w:proofErr w:type="spellEnd"/>
            <w:r w:rsidRPr="00301B0F">
              <w:rPr>
                <w:b/>
                <w:bCs/>
                <w:color w:val="000000" w:themeColor="text1"/>
                <w:lang w:val="en-GB"/>
              </w:rPr>
              <w:t>)</w:t>
            </w:r>
          </w:p>
        </w:tc>
      </w:tr>
      <w:tr w:rsidR="00EB0D06" w:rsidRPr="00301B0F" w14:paraId="6E016A96"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498824C5" w14:textId="455768D3"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Financial collateral</w:t>
            </w:r>
          </w:p>
        </w:tc>
        <w:tc>
          <w:tcPr>
            <w:tcW w:w="0" w:type="auto"/>
            <w:tcBorders>
              <w:top w:val="outset" w:sz="6" w:space="0" w:color="auto"/>
              <w:left w:val="outset" w:sz="6" w:space="0" w:color="auto"/>
              <w:bottom w:val="outset" w:sz="6" w:space="0" w:color="auto"/>
              <w:right w:val="outset" w:sz="6" w:space="0" w:color="auto"/>
            </w:tcBorders>
            <w:hideMark/>
          </w:tcPr>
          <w:p w14:paraId="06F767B8" w14:textId="77777777"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0 %</w:t>
            </w:r>
          </w:p>
        </w:tc>
        <w:tc>
          <w:tcPr>
            <w:tcW w:w="0" w:type="auto"/>
            <w:tcBorders>
              <w:top w:val="outset" w:sz="6" w:space="0" w:color="auto"/>
              <w:left w:val="outset" w:sz="6" w:space="0" w:color="auto"/>
              <w:bottom w:val="outset" w:sz="6" w:space="0" w:color="auto"/>
              <w:right w:val="outset" w:sz="6" w:space="0" w:color="auto"/>
            </w:tcBorders>
            <w:hideMark/>
          </w:tcPr>
          <w:p w14:paraId="5C52C2A0" w14:textId="5FDB3BA8"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 xml:space="preserve">Volatility adjustment </w:t>
            </w:r>
            <w:proofErr w:type="spellStart"/>
            <w:r w:rsidRPr="00301B0F">
              <w:rPr>
                <w:color w:val="000000" w:themeColor="text1"/>
                <w:lang w:val="en-GB"/>
              </w:rPr>
              <w:t>H</w:t>
            </w:r>
            <w:r w:rsidRPr="00301B0F">
              <w:rPr>
                <w:rStyle w:val="subscript"/>
                <w:color w:val="000000" w:themeColor="text1"/>
                <w:vertAlign w:val="subscript"/>
                <w:lang w:val="en-GB"/>
              </w:rPr>
              <w:t>c</w:t>
            </w:r>
            <w:proofErr w:type="spellEnd"/>
            <w:r w:rsidRPr="00301B0F">
              <w:rPr>
                <w:color w:val="000000" w:themeColor="text1"/>
                <w:lang w:val="en-GB"/>
              </w:rPr>
              <w:t> as set out in paragraphs</w:t>
            </w:r>
            <w:r w:rsidRPr="00301B0F">
              <w:rPr>
                <w:rFonts w:eastAsia="Arial Unicode MS"/>
                <w:color w:val="000000" w:themeColor="text1"/>
                <w:lang w:val="en-GB"/>
              </w:rPr>
              <w:t xml:space="preserve"> 95-105</w:t>
            </w:r>
          </w:p>
        </w:tc>
      </w:tr>
      <w:tr w:rsidR="00EB0D06" w:rsidRPr="00301B0F" w14:paraId="3C24B54F"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4762DD00" w14:textId="276B7D55"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lastRenderedPageBreak/>
              <w:t>Receivables</w:t>
            </w:r>
          </w:p>
        </w:tc>
        <w:tc>
          <w:tcPr>
            <w:tcW w:w="0" w:type="auto"/>
            <w:tcBorders>
              <w:top w:val="outset" w:sz="6" w:space="0" w:color="auto"/>
              <w:left w:val="outset" w:sz="6" w:space="0" w:color="auto"/>
              <w:bottom w:val="outset" w:sz="6" w:space="0" w:color="auto"/>
              <w:right w:val="outset" w:sz="6" w:space="0" w:color="auto"/>
            </w:tcBorders>
            <w:hideMark/>
          </w:tcPr>
          <w:p w14:paraId="36C5210B" w14:textId="77777777"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20 %</w:t>
            </w:r>
          </w:p>
        </w:tc>
        <w:tc>
          <w:tcPr>
            <w:tcW w:w="0" w:type="auto"/>
            <w:tcBorders>
              <w:top w:val="outset" w:sz="6" w:space="0" w:color="auto"/>
              <w:left w:val="outset" w:sz="6" w:space="0" w:color="auto"/>
              <w:bottom w:val="outset" w:sz="6" w:space="0" w:color="auto"/>
              <w:right w:val="outset" w:sz="6" w:space="0" w:color="auto"/>
            </w:tcBorders>
            <w:hideMark/>
          </w:tcPr>
          <w:p w14:paraId="439166E2" w14:textId="77777777"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40 %</w:t>
            </w:r>
          </w:p>
        </w:tc>
      </w:tr>
      <w:tr w:rsidR="00EB0D06" w:rsidRPr="00301B0F" w14:paraId="15231BB0"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674C5CEE" w14:textId="4F3580BC"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Residential property and commercial immovable property</w:t>
            </w:r>
          </w:p>
        </w:tc>
        <w:tc>
          <w:tcPr>
            <w:tcW w:w="0" w:type="auto"/>
            <w:tcBorders>
              <w:top w:val="outset" w:sz="6" w:space="0" w:color="auto"/>
              <w:left w:val="outset" w:sz="6" w:space="0" w:color="auto"/>
              <w:bottom w:val="outset" w:sz="6" w:space="0" w:color="auto"/>
              <w:right w:val="outset" w:sz="6" w:space="0" w:color="auto"/>
            </w:tcBorders>
            <w:hideMark/>
          </w:tcPr>
          <w:p w14:paraId="7796105E" w14:textId="77777777"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20 %</w:t>
            </w:r>
          </w:p>
        </w:tc>
        <w:tc>
          <w:tcPr>
            <w:tcW w:w="0" w:type="auto"/>
            <w:tcBorders>
              <w:top w:val="outset" w:sz="6" w:space="0" w:color="auto"/>
              <w:left w:val="outset" w:sz="6" w:space="0" w:color="auto"/>
              <w:bottom w:val="outset" w:sz="6" w:space="0" w:color="auto"/>
              <w:right w:val="outset" w:sz="6" w:space="0" w:color="auto"/>
            </w:tcBorders>
            <w:hideMark/>
          </w:tcPr>
          <w:p w14:paraId="52FED44B" w14:textId="77777777"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40 %</w:t>
            </w:r>
          </w:p>
        </w:tc>
      </w:tr>
      <w:tr w:rsidR="00EB0D06" w:rsidRPr="00301B0F" w14:paraId="34ACE08F"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7EE9EBA0" w14:textId="3FFFE2A8"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Other physical collateral</w:t>
            </w:r>
          </w:p>
        </w:tc>
        <w:tc>
          <w:tcPr>
            <w:tcW w:w="0" w:type="auto"/>
            <w:tcBorders>
              <w:top w:val="outset" w:sz="6" w:space="0" w:color="auto"/>
              <w:left w:val="outset" w:sz="6" w:space="0" w:color="auto"/>
              <w:bottom w:val="outset" w:sz="6" w:space="0" w:color="auto"/>
              <w:right w:val="outset" w:sz="6" w:space="0" w:color="auto"/>
            </w:tcBorders>
            <w:hideMark/>
          </w:tcPr>
          <w:p w14:paraId="6F015E45" w14:textId="77777777"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25 %</w:t>
            </w:r>
          </w:p>
        </w:tc>
        <w:tc>
          <w:tcPr>
            <w:tcW w:w="0" w:type="auto"/>
            <w:tcBorders>
              <w:top w:val="outset" w:sz="6" w:space="0" w:color="auto"/>
              <w:left w:val="outset" w:sz="6" w:space="0" w:color="auto"/>
              <w:bottom w:val="outset" w:sz="6" w:space="0" w:color="auto"/>
              <w:right w:val="outset" w:sz="6" w:space="0" w:color="auto"/>
            </w:tcBorders>
            <w:hideMark/>
          </w:tcPr>
          <w:p w14:paraId="228A74BB" w14:textId="77777777"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40 %</w:t>
            </w:r>
          </w:p>
        </w:tc>
      </w:tr>
      <w:tr w:rsidR="00EB0D06" w:rsidRPr="00301B0F" w14:paraId="7E8DA5EA"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672F9162" w14:textId="61F5DB97"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Ineligible FCP</w:t>
            </w:r>
          </w:p>
        </w:tc>
        <w:tc>
          <w:tcPr>
            <w:tcW w:w="0" w:type="auto"/>
            <w:tcBorders>
              <w:top w:val="outset" w:sz="6" w:space="0" w:color="auto"/>
              <w:left w:val="outset" w:sz="6" w:space="0" w:color="auto"/>
              <w:bottom w:val="outset" w:sz="6" w:space="0" w:color="auto"/>
              <w:right w:val="outset" w:sz="6" w:space="0" w:color="auto"/>
            </w:tcBorders>
            <w:hideMark/>
          </w:tcPr>
          <w:p w14:paraId="26E948BA" w14:textId="77777777"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N/A</w:t>
            </w:r>
          </w:p>
        </w:tc>
        <w:tc>
          <w:tcPr>
            <w:tcW w:w="0" w:type="auto"/>
            <w:tcBorders>
              <w:top w:val="outset" w:sz="6" w:space="0" w:color="auto"/>
              <w:left w:val="outset" w:sz="6" w:space="0" w:color="auto"/>
              <w:bottom w:val="outset" w:sz="6" w:space="0" w:color="auto"/>
              <w:right w:val="outset" w:sz="6" w:space="0" w:color="auto"/>
            </w:tcBorders>
            <w:hideMark/>
          </w:tcPr>
          <w:p w14:paraId="5E97BF2A" w14:textId="77777777" w:rsidR="00EB0D06" w:rsidRPr="00301B0F" w:rsidRDefault="00EB0D06" w:rsidP="00EB0D06">
            <w:pPr>
              <w:pStyle w:val="tbl-norm"/>
              <w:spacing w:before="0" w:beforeAutospacing="0" w:after="0" w:afterAutospacing="0" w:line="312" w:lineRule="atLeast"/>
              <w:jc w:val="both"/>
              <w:rPr>
                <w:color w:val="000000" w:themeColor="text1"/>
                <w:lang w:val="en-GB"/>
              </w:rPr>
            </w:pPr>
            <w:r w:rsidRPr="00301B0F">
              <w:rPr>
                <w:color w:val="000000" w:themeColor="text1"/>
                <w:lang w:val="en-GB"/>
              </w:rPr>
              <w:t>100 %</w:t>
            </w:r>
          </w:p>
        </w:tc>
      </w:tr>
    </w:tbl>
    <w:p w14:paraId="1B230549" w14:textId="6036CC91" w:rsidR="006F667E" w:rsidRPr="00301B0F" w:rsidRDefault="006F667E" w:rsidP="006F667E">
      <w:pPr>
        <w:shd w:val="clear" w:color="auto" w:fill="FFFFFF"/>
        <w:spacing w:before="120"/>
        <w:jc w:val="both"/>
        <w:rPr>
          <w:rFonts w:eastAsia="Arial Unicode MS"/>
          <w:color w:val="000000" w:themeColor="text1"/>
          <w:lang w:val="en-GB"/>
        </w:rPr>
      </w:pPr>
      <w:r w:rsidRPr="00301B0F">
        <w:rPr>
          <w:b/>
          <w:bCs/>
          <w:color w:val="000000" w:themeColor="text1"/>
          <w:lang w:val="en-GB"/>
        </w:rPr>
        <w:t>107</w:t>
      </w:r>
      <w:r w:rsidRPr="00301B0F">
        <w:rPr>
          <w:b/>
          <w:bCs/>
          <w:color w:val="000000" w:themeColor="text1"/>
          <w:vertAlign w:val="superscript"/>
          <w:lang w:val="en-GB"/>
        </w:rPr>
        <w:t>8</w:t>
      </w:r>
      <w:r w:rsidRPr="00301B0F">
        <w:rPr>
          <w:b/>
          <w:bCs/>
          <w:color w:val="000000" w:themeColor="text1"/>
          <w:lang w:val="en-GB"/>
        </w:rPr>
        <w:t xml:space="preserve">. </w:t>
      </w:r>
      <w:r w:rsidR="00EB0D06" w:rsidRPr="00301B0F">
        <w:rPr>
          <w:rFonts w:eastAsia="Arial Unicode MS"/>
          <w:color w:val="000000" w:themeColor="text1"/>
          <w:lang w:val="en-GB"/>
        </w:rPr>
        <w:t>If an eligible funded credit protection is denominated in a currency other than that of the exposure, the volatility adjustment for currency mismatch (</w:t>
      </w:r>
      <w:proofErr w:type="spellStart"/>
      <w:r w:rsidR="00EB0D06" w:rsidRPr="00301B0F">
        <w:rPr>
          <w:rFonts w:eastAsia="Arial Unicode MS"/>
          <w:color w:val="000000" w:themeColor="text1"/>
          <w:lang w:val="en-GB"/>
        </w:rPr>
        <w:t>Hfx</w:t>
      </w:r>
      <w:proofErr w:type="spellEnd"/>
      <w:r w:rsidR="00EB0D06" w:rsidRPr="00301B0F">
        <w:rPr>
          <w:rFonts w:eastAsia="Arial Unicode MS"/>
          <w:color w:val="000000" w:themeColor="text1"/>
          <w:lang w:val="en-GB"/>
        </w:rPr>
        <w:t>) is the same as that applied pursuant to paragraphs 95–105</w:t>
      </w:r>
      <w:r w:rsidRPr="00301B0F">
        <w:rPr>
          <w:color w:val="000000" w:themeColor="text1"/>
          <w:lang w:val="en-GB" w:eastAsia="ro-MD"/>
        </w:rPr>
        <w:t>.</w:t>
      </w:r>
    </w:p>
    <w:p w14:paraId="298E7DFD" w14:textId="2F8C3E37" w:rsidR="006F667E" w:rsidRPr="00301B0F" w:rsidRDefault="006F667E" w:rsidP="006F667E">
      <w:pPr>
        <w:shd w:val="clear" w:color="auto" w:fill="FFFFFF"/>
        <w:jc w:val="both"/>
        <w:rPr>
          <w:rFonts w:eastAsia="Arial Unicode MS"/>
          <w:color w:val="000000" w:themeColor="text1"/>
          <w:lang w:val="en-GB"/>
        </w:rPr>
      </w:pPr>
      <w:r w:rsidRPr="00301B0F">
        <w:rPr>
          <w:b/>
          <w:bCs/>
          <w:color w:val="000000" w:themeColor="text1"/>
          <w:lang w:val="en-GB"/>
        </w:rPr>
        <w:t>107</w:t>
      </w:r>
      <w:r w:rsidRPr="00301B0F">
        <w:rPr>
          <w:b/>
          <w:bCs/>
          <w:color w:val="000000" w:themeColor="text1"/>
          <w:vertAlign w:val="superscript"/>
          <w:lang w:val="en-GB"/>
        </w:rPr>
        <w:t>9</w:t>
      </w:r>
      <w:r w:rsidRPr="00301B0F">
        <w:rPr>
          <w:b/>
          <w:bCs/>
          <w:color w:val="000000" w:themeColor="text1"/>
          <w:lang w:val="en-GB"/>
        </w:rPr>
        <w:t xml:space="preserve">. </w:t>
      </w:r>
      <w:r w:rsidR="00EB0D06" w:rsidRPr="00301B0F">
        <w:rPr>
          <w:rFonts w:eastAsia="Arial Unicode MS"/>
          <w:color w:val="000000" w:themeColor="text1"/>
          <w:lang w:val="en-GB"/>
        </w:rPr>
        <w:t>As an alternative to the treatment set out in paragraphs 107</w:t>
      </w:r>
      <w:r w:rsidR="00EB0D06" w:rsidRPr="00301B0F">
        <w:rPr>
          <w:rFonts w:eastAsia="Arial Unicode MS"/>
          <w:color w:val="000000" w:themeColor="text1"/>
          <w:vertAlign w:val="superscript"/>
          <w:lang w:val="en-GB"/>
        </w:rPr>
        <w:t>6</w:t>
      </w:r>
      <w:r w:rsidR="00EB0D06" w:rsidRPr="00301B0F">
        <w:rPr>
          <w:rFonts w:eastAsia="Arial Unicode MS"/>
          <w:color w:val="000000" w:themeColor="text1"/>
          <w:lang w:val="en-GB"/>
        </w:rPr>
        <w:t>-107</w:t>
      </w:r>
      <w:r w:rsidR="00EB0D06" w:rsidRPr="00301B0F">
        <w:rPr>
          <w:rFonts w:eastAsia="Arial Unicode MS"/>
          <w:color w:val="000000" w:themeColor="text1"/>
          <w:vertAlign w:val="superscript"/>
          <w:lang w:val="en-GB"/>
        </w:rPr>
        <w:t>7</w:t>
      </w:r>
      <w:r w:rsidR="00EB0D06" w:rsidRPr="00301B0F">
        <w:rPr>
          <w:rFonts w:eastAsia="Arial Unicode MS"/>
          <w:color w:val="000000" w:themeColor="text1"/>
          <w:lang w:val="en-GB"/>
        </w:rPr>
        <w:t xml:space="preserve"> and subject to paragraphs 68</w:t>
      </w:r>
      <w:r w:rsidR="00EB0D06" w:rsidRPr="00301B0F">
        <w:rPr>
          <w:rFonts w:eastAsia="Arial Unicode MS"/>
          <w:color w:val="000000" w:themeColor="text1"/>
          <w:vertAlign w:val="superscript"/>
          <w:lang w:val="en-GB"/>
        </w:rPr>
        <w:t>3</w:t>
      </w:r>
      <w:r w:rsidR="00EB0D06" w:rsidRPr="00301B0F">
        <w:rPr>
          <w:rFonts w:eastAsia="Arial Unicode MS"/>
          <w:color w:val="000000" w:themeColor="text1"/>
          <w:lang w:val="en-GB"/>
        </w:rPr>
        <w:t>-68</w:t>
      </w:r>
      <w:r w:rsidR="00EB0D06" w:rsidRPr="00301B0F">
        <w:rPr>
          <w:rFonts w:eastAsia="Arial Unicode MS"/>
          <w:color w:val="000000" w:themeColor="text1"/>
          <w:vertAlign w:val="superscript"/>
          <w:lang w:val="en-GB"/>
        </w:rPr>
        <w:t>6</w:t>
      </w:r>
      <w:r w:rsidR="00EB0D06" w:rsidRPr="00301B0F">
        <w:rPr>
          <w:rFonts w:eastAsia="Arial Unicode MS"/>
          <w:color w:val="000000" w:themeColor="text1"/>
          <w:lang w:val="en-GB"/>
        </w:rPr>
        <w:t xml:space="preserve"> of Regulation No 111/2018, banks may assign a 50% risk weight to the portion of the exposure that is, within the limits set out in paragraphs 69 and, respectively, 71 of Regulation No 111/2018, fully secured by residential or commercial real estate, provided that all the conditions set forth in paragraphs 34</w:t>
      </w:r>
      <w:r w:rsidR="00EB0D06" w:rsidRPr="00301B0F">
        <w:rPr>
          <w:rFonts w:eastAsia="Arial Unicode MS"/>
          <w:color w:val="000000" w:themeColor="text1"/>
          <w:vertAlign w:val="superscript"/>
          <w:lang w:val="en-GB"/>
        </w:rPr>
        <w:t>4</w:t>
      </w:r>
      <w:r w:rsidR="00EB0D06" w:rsidRPr="00301B0F">
        <w:rPr>
          <w:rFonts w:eastAsia="Arial Unicode MS"/>
          <w:color w:val="000000" w:themeColor="text1"/>
          <w:lang w:val="en-GB"/>
        </w:rPr>
        <w:t>-34</w:t>
      </w:r>
      <w:r w:rsidR="00EB0D06" w:rsidRPr="00301B0F">
        <w:rPr>
          <w:rFonts w:eastAsia="Arial Unicode MS"/>
          <w:color w:val="000000" w:themeColor="text1"/>
          <w:vertAlign w:val="superscript"/>
          <w:lang w:val="en-GB"/>
        </w:rPr>
        <w:t>5</w:t>
      </w:r>
      <w:r w:rsidR="00EB0D06" w:rsidRPr="00301B0F">
        <w:rPr>
          <w:rFonts w:eastAsia="Arial Unicode MS"/>
          <w:color w:val="000000" w:themeColor="text1"/>
          <w:lang w:val="en-GB"/>
        </w:rPr>
        <w:t xml:space="preserve"> or 34</w:t>
      </w:r>
      <w:r w:rsidR="00EB0D06" w:rsidRPr="00301B0F">
        <w:rPr>
          <w:rFonts w:eastAsia="Arial Unicode MS"/>
          <w:color w:val="000000" w:themeColor="text1"/>
          <w:vertAlign w:val="superscript"/>
          <w:lang w:val="en-GB"/>
        </w:rPr>
        <w:t>6</w:t>
      </w:r>
      <w:r w:rsidR="00EB0D06" w:rsidRPr="00301B0F">
        <w:rPr>
          <w:rFonts w:eastAsia="Arial Unicode MS"/>
          <w:color w:val="000000" w:themeColor="text1"/>
          <w:lang w:val="en-GB"/>
        </w:rPr>
        <w:t>-34</w:t>
      </w:r>
      <w:r w:rsidR="00EB0D06" w:rsidRPr="00301B0F">
        <w:rPr>
          <w:rFonts w:eastAsia="Arial Unicode MS"/>
          <w:color w:val="000000" w:themeColor="text1"/>
          <w:vertAlign w:val="superscript"/>
          <w:lang w:val="en-GB"/>
        </w:rPr>
        <w:t xml:space="preserve">7 </w:t>
      </w:r>
      <w:r w:rsidR="00EB0D06" w:rsidRPr="00301B0F">
        <w:rPr>
          <w:rFonts w:eastAsia="Arial Unicode MS"/>
          <w:color w:val="000000" w:themeColor="text1"/>
          <w:lang w:val="en-GB"/>
        </w:rPr>
        <w:t>of this Regulation are met</w:t>
      </w:r>
      <w:r w:rsidRPr="00301B0F">
        <w:rPr>
          <w:rFonts w:eastAsia="Arial Unicode MS"/>
          <w:color w:val="000000" w:themeColor="text1"/>
          <w:lang w:val="en-GB"/>
        </w:rPr>
        <w:t>.</w:t>
      </w:r>
    </w:p>
    <w:p w14:paraId="5A841CCA" w14:textId="3A646013" w:rsidR="006F667E" w:rsidRPr="00301B0F" w:rsidRDefault="006F667E" w:rsidP="006F667E">
      <w:pPr>
        <w:shd w:val="clear" w:color="auto" w:fill="FFFFFF"/>
        <w:jc w:val="both"/>
        <w:rPr>
          <w:rFonts w:eastAsia="Arial Unicode MS"/>
          <w:color w:val="000000" w:themeColor="text1"/>
          <w:lang w:val="en-GB"/>
        </w:rPr>
      </w:pPr>
      <w:r w:rsidRPr="00301B0F">
        <w:rPr>
          <w:b/>
          <w:bCs/>
          <w:color w:val="000000" w:themeColor="text1"/>
          <w:lang w:val="en-GB"/>
        </w:rPr>
        <w:t>107</w:t>
      </w:r>
      <w:r w:rsidRPr="00301B0F">
        <w:rPr>
          <w:b/>
          <w:bCs/>
          <w:color w:val="000000" w:themeColor="text1"/>
          <w:vertAlign w:val="superscript"/>
          <w:lang w:val="en-GB"/>
        </w:rPr>
        <w:t>10</w:t>
      </w:r>
      <w:r w:rsidRPr="00301B0F">
        <w:rPr>
          <w:b/>
          <w:bCs/>
          <w:color w:val="000000" w:themeColor="text1"/>
          <w:lang w:val="en-GB"/>
        </w:rPr>
        <w:t xml:space="preserve">. </w:t>
      </w:r>
      <w:r w:rsidR="00EB0D06" w:rsidRPr="00301B0F">
        <w:rPr>
          <w:rFonts w:eastAsia="Arial Unicode MS"/>
          <w:color w:val="000000" w:themeColor="text1"/>
          <w:lang w:val="en-GB"/>
        </w:rPr>
        <w:t xml:space="preserve">To calculate the risk-weighted values of exposures and the expected loss amounts for IRB exposures covered by paragraphs 68–70, banks shall use E* in accordance with paragraph 71 and the LGD for unsecured exposures, as specified in the regulatory act of the National Bank of Moldova regarding the treatment of credit risk under the internal </w:t>
      </w:r>
      <w:proofErr w:type="gramStart"/>
      <w:r w:rsidR="00EB0D06" w:rsidRPr="00301B0F">
        <w:rPr>
          <w:rFonts w:eastAsia="Arial Unicode MS"/>
          <w:color w:val="000000" w:themeColor="text1"/>
          <w:lang w:val="en-GB"/>
        </w:rPr>
        <w:t>ratings</w:t>
      </w:r>
      <w:r w:rsidR="00D313EA">
        <w:rPr>
          <w:rFonts w:eastAsia="Arial Unicode MS"/>
          <w:color w:val="000000" w:themeColor="text1"/>
          <w:lang w:val="en-GB"/>
        </w:rPr>
        <w:t xml:space="preserve"> </w:t>
      </w:r>
      <w:r w:rsidR="00EB0D06" w:rsidRPr="00301B0F">
        <w:rPr>
          <w:rFonts w:eastAsia="Arial Unicode MS"/>
          <w:color w:val="000000" w:themeColor="text1"/>
          <w:lang w:val="en-GB"/>
        </w:rPr>
        <w:t>based</w:t>
      </w:r>
      <w:proofErr w:type="gramEnd"/>
      <w:r w:rsidR="00EB0D06" w:rsidRPr="00301B0F">
        <w:rPr>
          <w:rFonts w:eastAsia="Arial Unicode MS"/>
          <w:color w:val="000000" w:themeColor="text1"/>
          <w:lang w:val="en-GB"/>
        </w:rPr>
        <w:t xml:space="preserve"> approach</w:t>
      </w:r>
      <w:r w:rsidRPr="00301B0F">
        <w:rPr>
          <w:rFonts w:eastAsia="Arial Unicode MS"/>
          <w:color w:val="000000" w:themeColor="text1"/>
          <w:lang w:val="en-GB"/>
        </w:rPr>
        <w:t>.</w:t>
      </w:r>
    </w:p>
    <w:p w14:paraId="19514EF9" w14:textId="00A38BB1" w:rsidR="006F667E" w:rsidRPr="00301B0F" w:rsidRDefault="006F667E" w:rsidP="006F667E">
      <w:pPr>
        <w:jc w:val="center"/>
        <w:rPr>
          <w:color w:val="000000" w:themeColor="text1"/>
          <w:lang w:val="en-GB" w:eastAsia="ro-MD"/>
        </w:rPr>
      </w:pPr>
      <w:r w:rsidRPr="00301B0F">
        <w:rPr>
          <w:color w:val="000000" w:themeColor="text1"/>
          <w:lang w:val="en-GB" w:eastAsia="ro-MD"/>
        </w:rPr>
        <w:t> </w:t>
      </w:r>
      <w:r w:rsidR="00EB0D06" w:rsidRPr="00301B0F">
        <w:rPr>
          <w:b/>
          <w:bCs/>
          <w:i/>
          <w:iCs/>
          <w:color w:val="000000" w:themeColor="text1"/>
          <w:lang w:val="en-GB" w:eastAsia="ro-MD"/>
        </w:rPr>
        <w:t>Section</w:t>
      </w:r>
      <w:r w:rsidRPr="00301B0F">
        <w:rPr>
          <w:b/>
          <w:bCs/>
          <w:i/>
          <w:iCs/>
          <w:color w:val="000000" w:themeColor="text1"/>
          <w:lang w:val="en-GB" w:eastAsia="ro-MD"/>
        </w:rPr>
        <w:t xml:space="preserve"> 9</w:t>
      </w:r>
      <w:r w:rsidRPr="00301B0F">
        <w:rPr>
          <w:b/>
          <w:bCs/>
          <w:i/>
          <w:iCs/>
          <w:color w:val="000000" w:themeColor="text1"/>
          <w:vertAlign w:val="superscript"/>
          <w:lang w:val="en-GB" w:eastAsia="ro-MD"/>
        </w:rPr>
        <w:t>3</w:t>
      </w:r>
    </w:p>
    <w:p w14:paraId="082C11CC" w14:textId="77777777" w:rsidR="00EB0D06" w:rsidRPr="00301B0F" w:rsidRDefault="00EB0D06" w:rsidP="00EB0D06">
      <w:pPr>
        <w:pStyle w:val="title-article-norm"/>
        <w:shd w:val="clear" w:color="auto" w:fill="FFFFFF"/>
        <w:spacing w:before="0" w:beforeAutospacing="0" w:after="0" w:afterAutospacing="0" w:line="312" w:lineRule="atLeast"/>
        <w:jc w:val="center"/>
        <w:rPr>
          <w:rFonts w:eastAsia="Arial Unicode MS"/>
          <w:b/>
          <w:bCs/>
          <w:color w:val="000000" w:themeColor="text1"/>
          <w:lang w:val="en-GB"/>
        </w:rPr>
      </w:pPr>
      <w:r w:rsidRPr="00301B0F">
        <w:rPr>
          <w:rFonts w:eastAsia="Arial Unicode MS"/>
          <w:b/>
          <w:bCs/>
          <w:color w:val="000000" w:themeColor="text1"/>
          <w:lang w:val="en-GB"/>
        </w:rPr>
        <w:t>Calculating risk-weighted exposure amounts and expected loss amounts in the case of pools of eligible funded credit protection for an exposure treated under the IRB Approach</w:t>
      </w:r>
    </w:p>
    <w:p w14:paraId="0179602A" w14:textId="766C393B" w:rsidR="006F667E" w:rsidRPr="00301B0F"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en-GB"/>
        </w:rPr>
      </w:pPr>
      <w:r w:rsidRPr="00301B0F">
        <w:rPr>
          <w:b/>
          <w:bCs/>
          <w:color w:val="000000" w:themeColor="text1"/>
          <w:lang w:val="en-GB"/>
        </w:rPr>
        <w:t>107</w:t>
      </w:r>
      <w:r w:rsidRPr="00301B0F">
        <w:rPr>
          <w:b/>
          <w:bCs/>
          <w:color w:val="000000" w:themeColor="text1"/>
          <w:vertAlign w:val="superscript"/>
          <w:lang w:val="en-GB"/>
        </w:rPr>
        <w:t>1</w:t>
      </w:r>
      <w:r w:rsidR="00200D4A" w:rsidRPr="00301B0F">
        <w:rPr>
          <w:b/>
          <w:bCs/>
          <w:color w:val="000000" w:themeColor="text1"/>
          <w:vertAlign w:val="superscript"/>
          <w:lang w:val="en-GB"/>
        </w:rPr>
        <w:t>1</w:t>
      </w:r>
      <w:r w:rsidRPr="00301B0F">
        <w:rPr>
          <w:b/>
          <w:bCs/>
          <w:color w:val="000000" w:themeColor="text1"/>
          <w:lang w:val="en-GB"/>
        </w:rPr>
        <w:t xml:space="preserve">. </w:t>
      </w:r>
      <w:r w:rsidR="00EB0D06" w:rsidRPr="00301B0F">
        <w:rPr>
          <w:rFonts w:eastAsia="Arial Unicode MS"/>
          <w:color w:val="000000" w:themeColor="text1"/>
          <w:lang w:val="en-GB"/>
        </w:rPr>
        <w:t>Banks that have obtained multiple types of funded credit protection may, for exposures treated under the IRB Approach, apply the formula set out in Section 9</w:t>
      </w:r>
      <w:r w:rsidR="00EB0D06" w:rsidRPr="00301B0F">
        <w:rPr>
          <w:rFonts w:eastAsia="Arial Unicode MS"/>
          <w:color w:val="000000" w:themeColor="text1"/>
          <w:vertAlign w:val="superscript"/>
          <w:lang w:val="en-GB"/>
        </w:rPr>
        <w:t>2</w:t>
      </w:r>
      <w:r w:rsidR="00EB0D06" w:rsidRPr="00301B0F">
        <w:rPr>
          <w:rFonts w:eastAsia="Arial Unicode MS"/>
          <w:color w:val="000000" w:themeColor="text1"/>
          <w:lang w:val="en-GB"/>
        </w:rPr>
        <w:t xml:space="preserve"> of this Chapter sequentially for each individual type of collateral</w:t>
      </w:r>
      <w:r w:rsidRPr="00301B0F">
        <w:rPr>
          <w:rFonts w:eastAsia="Arial Unicode MS"/>
          <w:color w:val="000000" w:themeColor="text1"/>
          <w:lang w:val="en-GB"/>
        </w:rPr>
        <w:t xml:space="preserve">. </w:t>
      </w:r>
    </w:p>
    <w:p w14:paraId="286AE5DA" w14:textId="6F9A557C" w:rsidR="006F667E" w:rsidRPr="00301B0F"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en-GB"/>
        </w:rPr>
      </w:pPr>
      <w:r w:rsidRPr="00301B0F">
        <w:rPr>
          <w:b/>
          <w:bCs/>
          <w:color w:val="000000" w:themeColor="text1"/>
          <w:lang w:val="en-GB"/>
        </w:rPr>
        <w:t>107</w:t>
      </w:r>
      <w:r w:rsidRPr="00301B0F">
        <w:rPr>
          <w:b/>
          <w:bCs/>
          <w:color w:val="000000" w:themeColor="text1"/>
          <w:vertAlign w:val="superscript"/>
          <w:lang w:val="en-GB"/>
        </w:rPr>
        <w:t>1</w:t>
      </w:r>
      <w:r w:rsidR="00200D4A" w:rsidRPr="00301B0F">
        <w:rPr>
          <w:b/>
          <w:bCs/>
          <w:color w:val="000000" w:themeColor="text1"/>
          <w:vertAlign w:val="superscript"/>
          <w:lang w:val="en-GB"/>
        </w:rPr>
        <w:t>2</w:t>
      </w:r>
      <w:r w:rsidRPr="00301B0F">
        <w:rPr>
          <w:b/>
          <w:bCs/>
          <w:color w:val="000000" w:themeColor="text1"/>
          <w:lang w:val="en-GB"/>
        </w:rPr>
        <w:t xml:space="preserve">. </w:t>
      </w:r>
      <w:r w:rsidR="00EB0D06" w:rsidRPr="00301B0F">
        <w:rPr>
          <w:rFonts w:eastAsia="Arial Unicode MS"/>
          <w:color w:val="000000" w:themeColor="text1"/>
          <w:lang w:val="en-GB"/>
        </w:rPr>
        <w:t>For the purposes of paragraph 107</w:t>
      </w:r>
      <w:r w:rsidR="00EB0D06" w:rsidRPr="00301B0F">
        <w:rPr>
          <w:rFonts w:eastAsia="Arial Unicode MS"/>
          <w:color w:val="000000" w:themeColor="text1"/>
          <w:vertAlign w:val="superscript"/>
          <w:lang w:val="en-GB"/>
        </w:rPr>
        <w:t>11</w:t>
      </w:r>
      <w:r w:rsidR="00EB0D06" w:rsidRPr="00301B0F">
        <w:rPr>
          <w:rFonts w:eastAsia="Arial Unicode MS"/>
          <w:color w:val="000000" w:themeColor="text1"/>
          <w:lang w:val="en-GB"/>
        </w:rPr>
        <w:t>, after each stage of recognising a type of funded credit protection, banks shall reduce the amount of the remaining unsecured exposure (EU) by the adjusted value of the collateral (ES) recognised at that stage. In accordance with paragraph 107</w:t>
      </w:r>
      <w:r w:rsidR="00EB0D06" w:rsidRPr="00301B0F">
        <w:rPr>
          <w:rFonts w:eastAsia="Arial Unicode MS"/>
          <w:color w:val="000000" w:themeColor="text1"/>
          <w:vertAlign w:val="superscript"/>
          <w:lang w:val="en-GB"/>
        </w:rPr>
        <w:t>6</w:t>
      </w:r>
      <w:r w:rsidR="00EB0D06" w:rsidRPr="00301B0F">
        <w:rPr>
          <w:rFonts w:eastAsia="Arial Unicode MS"/>
          <w:color w:val="000000" w:themeColor="text1"/>
          <w:lang w:val="en-GB"/>
        </w:rPr>
        <w:t>, the total ES for all types of funded credit protection is capped at E·(1+H</w:t>
      </w:r>
      <w:r w:rsidR="00EB0D06" w:rsidRPr="00301B0F">
        <w:rPr>
          <w:rStyle w:val="subscript"/>
          <w:rFonts w:eastAsia="Arial Unicode MS"/>
          <w:color w:val="000000" w:themeColor="text1"/>
          <w:vertAlign w:val="subscript"/>
          <w:lang w:val="en-GB"/>
        </w:rPr>
        <w:t>E</w:t>
      </w:r>
      <w:r w:rsidR="00EB0D06" w:rsidRPr="00301B0F">
        <w:rPr>
          <w:rFonts w:eastAsia="Arial Unicode MS"/>
          <w:color w:val="000000" w:themeColor="text1"/>
          <w:lang w:val="en-GB"/>
        </w:rPr>
        <w:t>), resulting in the following formula</w:t>
      </w:r>
      <w:r w:rsidRPr="00301B0F">
        <w:rPr>
          <w:rFonts w:eastAsia="Arial Unicode MS"/>
          <w:color w:val="000000" w:themeColor="text1"/>
          <w:lang w:val="en-GB"/>
        </w:rPr>
        <w:t>:</w:t>
      </w:r>
    </w:p>
    <w:p w14:paraId="2800B7B0" w14:textId="77777777" w:rsidR="006F667E" w:rsidRPr="00301B0F"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en-GB"/>
        </w:rPr>
      </w:pPr>
      <w:r w:rsidRPr="00301B0F">
        <w:rPr>
          <w:b/>
          <w:bCs/>
          <w:noProof/>
          <w:color w:val="000000" w:themeColor="text1"/>
          <w:lang w:val="en-GB"/>
        </w:rPr>
        <w:drawing>
          <wp:inline distT="0" distB="0" distL="0" distR="0" wp14:anchorId="6800D7CF" wp14:editId="03640C2D">
            <wp:extent cx="3714750" cy="495300"/>
            <wp:effectExtent l="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0" cy="495300"/>
                    </a:xfrm>
                    <a:prstGeom prst="rect">
                      <a:avLst/>
                    </a:prstGeom>
                    <a:noFill/>
                    <a:ln>
                      <a:noFill/>
                    </a:ln>
                  </pic:spPr>
                </pic:pic>
              </a:graphicData>
            </a:graphic>
          </wp:inline>
        </w:drawing>
      </w:r>
    </w:p>
    <w:p w14:paraId="3E939199" w14:textId="45507F94" w:rsidR="006F667E" w:rsidRPr="00301B0F" w:rsidRDefault="00EB0D06" w:rsidP="006F667E">
      <w:pPr>
        <w:pStyle w:val="norm"/>
        <w:shd w:val="clear" w:color="auto" w:fill="FFFFFF"/>
        <w:spacing w:before="0" w:beforeAutospacing="0" w:after="0" w:afterAutospacing="0" w:line="312" w:lineRule="atLeast"/>
        <w:jc w:val="both"/>
        <w:rPr>
          <w:rFonts w:eastAsia="Arial Unicode MS"/>
          <w:color w:val="000000" w:themeColor="text1"/>
          <w:lang w:val="en-GB"/>
        </w:rPr>
      </w:pPr>
      <w:r w:rsidRPr="00301B0F">
        <w:rPr>
          <w:rFonts w:eastAsia="Arial Unicode MS"/>
          <w:color w:val="000000" w:themeColor="text1"/>
          <w:lang w:val="en-GB"/>
        </w:rPr>
        <w:t>where</w:t>
      </w:r>
      <w:r w:rsidR="006F667E" w:rsidRPr="00301B0F">
        <w:rPr>
          <w:rFonts w:eastAsia="Arial Unicode MS"/>
          <w:color w:val="000000" w:themeColor="text1"/>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8806"/>
      </w:tblGrid>
      <w:tr w:rsidR="001D4B0D" w:rsidRPr="00301B0F" w14:paraId="319B3866" w14:textId="77777777" w:rsidTr="001D4B0D">
        <w:tc>
          <w:tcPr>
            <w:tcW w:w="846" w:type="dxa"/>
          </w:tcPr>
          <w:p w14:paraId="1B232A0C" w14:textId="1909FFF6" w:rsidR="001D4B0D" w:rsidRPr="00301B0F" w:rsidRDefault="001D4B0D" w:rsidP="006F667E">
            <w:pPr>
              <w:pStyle w:val="norm"/>
              <w:spacing w:before="0" w:beforeAutospacing="0" w:after="0" w:afterAutospacing="0" w:line="312" w:lineRule="atLeast"/>
              <w:jc w:val="both"/>
              <w:rPr>
                <w:rFonts w:eastAsia="Arial Unicode MS"/>
                <w:color w:val="000000" w:themeColor="text1"/>
                <w:lang w:val="en-GB"/>
              </w:rPr>
            </w:pPr>
            <w:proofErr w:type="spellStart"/>
            <w:proofErr w:type="gramStart"/>
            <w:r w:rsidRPr="00301B0F">
              <w:rPr>
                <w:color w:val="000000" w:themeColor="text1"/>
                <w:lang w:val="en-GB"/>
              </w:rPr>
              <w:t>LGD</w:t>
            </w:r>
            <w:r w:rsidRPr="00301B0F">
              <w:rPr>
                <w:rStyle w:val="subscript"/>
                <w:color w:val="000000" w:themeColor="text1"/>
                <w:vertAlign w:val="subscript"/>
                <w:lang w:val="en-GB"/>
              </w:rPr>
              <w:t>S,i</w:t>
            </w:r>
            <w:proofErr w:type="spellEnd"/>
            <w:proofErr w:type="gramEnd"/>
          </w:p>
        </w:tc>
        <w:tc>
          <w:tcPr>
            <w:tcW w:w="8833" w:type="dxa"/>
          </w:tcPr>
          <w:p w14:paraId="2F10C67B" w14:textId="2BF0BC8A" w:rsidR="001D4B0D" w:rsidRPr="00301B0F" w:rsidRDefault="001D4B0D" w:rsidP="006F667E">
            <w:pPr>
              <w:pStyle w:val="norm"/>
              <w:spacing w:before="0" w:beforeAutospacing="0" w:after="0" w:afterAutospacing="0" w:line="312" w:lineRule="atLeast"/>
              <w:jc w:val="both"/>
              <w:rPr>
                <w:rFonts w:eastAsia="Arial Unicode MS"/>
                <w:color w:val="000000" w:themeColor="text1"/>
                <w:lang w:val="en-GB"/>
              </w:rPr>
            </w:pPr>
            <w:r w:rsidRPr="00301B0F">
              <w:rPr>
                <w:color w:val="000000" w:themeColor="text1"/>
                <w:lang w:val="en-GB"/>
              </w:rPr>
              <w:t xml:space="preserve">= </w:t>
            </w:r>
            <w:r w:rsidR="00EB0D06" w:rsidRPr="00301B0F">
              <w:rPr>
                <w:color w:val="000000" w:themeColor="text1"/>
                <w:lang w:val="en-GB"/>
              </w:rPr>
              <w:t xml:space="preserve">the LGD applicable to FCP i, as specified in paragraph </w:t>
            </w:r>
            <w:r w:rsidRPr="00301B0F">
              <w:rPr>
                <w:color w:val="000000" w:themeColor="text1"/>
                <w:lang w:val="en-GB"/>
              </w:rPr>
              <w:t>107</w:t>
            </w:r>
            <w:r w:rsidRPr="00301B0F">
              <w:rPr>
                <w:color w:val="000000" w:themeColor="text1"/>
                <w:vertAlign w:val="superscript"/>
                <w:lang w:val="en-GB"/>
              </w:rPr>
              <w:t>7</w:t>
            </w:r>
            <w:r w:rsidRPr="00301B0F">
              <w:rPr>
                <w:color w:val="000000" w:themeColor="text1"/>
                <w:lang w:val="en-GB"/>
              </w:rPr>
              <w:t>;</w:t>
            </w:r>
          </w:p>
        </w:tc>
      </w:tr>
      <w:tr w:rsidR="001D4B0D" w:rsidRPr="00301B0F" w14:paraId="1BB3D14A" w14:textId="77777777" w:rsidTr="001D4B0D">
        <w:tc>
          <w:tcPr>
            <w:tcW w:w="846" w:type="dxa"/>
          </w:tcPr>
          <w:p w14:paraId="2ACF611F" w14:textId="4B89D956" w:rsidR="001D4B0D" w:rsidRPr="00301B0F" w:rsidRDefault="001D4B0D" w:rsidP="006F667E">
            <w:pPr>
              <w:pStyle w:val="norm"/>
              <w:spacing w:before="0" w:beforeAutospacing="0" w:after="0" w:afterAutospacing="0" w:line="312" w:lineRule="atLeast"/>
              <w:jc w:val="both"/>
              <w:rPr>
                <w:rFonts w:eastAsia="Arial Unicode MS"/>
                <w:color w:val="000000" w:themeColor="text1"/>
                <w:lang w:val="en-GB"/>
              </w:rPr>
            </w:pPr>
            <w:proofErr w:type="spellStart"/>
            <w:proofErr w:type="gramStart"/>
            <w:r w:rsidRPr="00301B0F">
              <w:rPr>
                <w:color w:val="000000" w:themeColor="text1"/>
                <w:lang w:val="en-GB"/>
              </w:rPr>
              <w:t>E</w:t>
            </w:r>
            <w:r w:rsidRPr="00301B0F">
              <w:rPr>
                <w:rStyle w:val="subscript"/>
                <w:color w:val="000000" w:themeColor="text1"/>
                <w:vertAlign w:val="subscript"/>
                <w:lang w:val="en-GB"/>
              </w:rPr>
              <w:t>S,i</w:t>
            </w:r>
            <w:proofErr w:type="spellEnd"/>
            <w:proofErr w:type="gramEnd"/>
          </w:p>
        </w:tc>
        <w:tc>
          <w:tcPr>
            <w:tcW w:w="8833" w:type="dxa"/>
          </w:tcPr>
          <w:p w14:paraId="70CDA159" w14:textId="13C9EA18" w:rsidR="001D4B0D" w:rsidRPr="00301B0F" w:rsidRDefault="001D4B0D" w:rsidP="006F667E">
            <w:pPr>
              <w:pStyle w:val="norm"/>
              <w:spacing w:before="0" w:beforeAutospacing="0" w:after="0" w:afterAutospacing="0" w:line="312" w:lineRule="atLeast"/>
              <w:jc w:val="both"/>
              <w:rPr>
                <w:rFonts w:eastAsia="Arial Unicode MS"/>
                <w:color w:val="000000" w:themeColor="text1"/>
                <w:lang w:val="en-GB"/>
              </w:rPr>
            </w:pPr>
            <w:r w:rsidRPr="00301B0F">
              <w:rPr>
                <w:color w:val="000000" w:themeColor="text1"/>
                <w:lang w:val="en-GB"/>
              </w:rPr>
              <w:t xml:space="preserve">= </w:t>
            </w:r>
            <w:r w:rsidR="00EB0D06" w:rsidRPr="00301B0F">
              <w:rPr>
                <w:color w:val="000000" w:themeColor="text1"/>
                <w:lang w:val="en-GB"/>
              </w:rPr>
              <w:t xml:space="preserve">the current value of the </w:t>
            </w:r>
            <w:proofErr w:type="spellStart"/>
            <w:r w:rsidR="00EB0D06" w:rsidRPr="00301B0F">
              <w:rPr>
                <w:color w:val="000000" w:themeColor="text1"/>
                <w:lang w:val="en-GB"/>
              </w:rPr>
              <w:t>FCPi</w:t>
            </w:r>
            <w:proofErr w:type="spellEnd"/>
            <w:r w:rsidR="00EB0D06" w:rsidRPr="00301B0F">
              <w:rPr>
                <w:color w:val="000000" w:themeColor="text1"/>
                <w:lang w:val="en-GB"/>
              </w:rPr>
              <w:t xml:space="preserve"> received after applying the volatility adjustment applicable to the type of funded credit protection </w:t>
            </w:r>
            <w:r w:rsidRPr="00301B0F">
              <w:rPr>
                <w:color w:val="000000" w:themeColor="text1"/>
                <w:lang w:val="en-GB"/>
              </w:rPr>
              <w:t>(</w:t>
            </w:r>
            <w:proofErr w:type="spellStart"/>
            <w:r w:rsidRPr="00301B0F">
              <w:rPr>
                <w:color w:val="000000" w:themeColor="text1"/>
                <w:lang w:val="en-GB"/>
              </w:rPr>
              <w:t>H</w:t>
            </w:r>
            <w:r w:rsidRPr="00301B0F">
              <w:rPr>
                <w:rStyle w:val="subscript"/>
                <w:color w:val="000000" w:themeColor="text1"/>
                <w:vertAlign w:val="subscript"/>
                <w:lang w:val="en-GB"/>
              </w:rPr>
              <w:t>c</w:t>
            </w:r>
            <w:proofErr w:type="spellEnd"/>
            <w:r w:rsidRPr="00301B0F">
              <w:rPr>
                <w:color w:val="000000" w:themeColor="text1"/>
                <w:lang w:val="en-GB"/>
              </w:rPr>
              <w:t xml:space="preserve">) </w:t>
            </w:r>
            <w:r w:rsidR="00EB0D06" w:rsidRPr="00301B0F">
              <w:rPr>
                <w:color w:val="000000" w:themeColor="text1"/>
                <w:lang w:val="en-GB"/>
              </w:rPr>
              <w:t xml:space="preserve">pursuant to paragraph </w:t>
            </w:r>
            <w:r w:rsidRPr="00301B0F">
              <w:rPr>
                <w:color w:val="000000" w:themeColor="text1"/>
                <w:lang w:val="en-GB"/>
              </w:rPr>
              <w:t>107</w:t>
            </w:r>
            <w:r w:rsidRPr="00301B0F">
              <w:rPr>
                <w:color w:val="000000" w:themeColor="text1"/>
                <w:vertAlign w:val="superscript"/>
                <w:lang w:val="en-GB"/>
              </w:rPr>
              <w:t>7</w:t>
            </w:r>
            <w:r w:rsidRPr="00301B0F">
              <w:rPr>
                <w:color w:val="000000" w:themeColor="text1"/>
                <w:lang w:val="en-GB"/>
              </w:rPr>
              <w:t>.</w:t>
            </w:r>
            <w:r w:rsidRPr="00301B0F">
              <w:rPr>
                <w:color w:val="000000" w:themeColor="text1"/>
                <w:sz w:val="18"/>
                <w:szCs w:val="18"/>
                <w:lang w:val="en-GB"/>
              </w:rPr>
              <w:t>”</w:t>
            </w:r>
          </w:p>
        </w:tc>
      </w:tr>
    </w:tbl>
    <w:tbl>
      <w:tblPr>
        <w:tblW w:w="5000" w:type="pct"/>
        <w:tblCellMar>
          <w:left w:w="0" w:type="dxa"/>
          <w:right w:w="0" w:type="dxa"/>
        </w:tblCellMar>
        <w:tblLook w:val="04A0" w:firstRow="1" w:lastRow="0" w:firstColumn="1" w:lastColumn="0" w:noHBand="0" w:noVBand="1"/>
      </w:tblPr>
      <w:tblGrid>
        <w:gridCol w:w="4844"/>
        <w:gridCol w:w="4845"/>
      </w:tblGrid>
      <w:tr w:rsidR="000B2CBE" w:rsidRPr="00301B0F" w14:paraId="7BDC9438" w14:textId="77777777" w:rsidTr="008D25C5">
        <w:tc>
          <w:tcPr>
            <w:tcW w:w="0" w:type="auto"/>
            <w:hideMark/>
          </w:tcPr>
          <w:p w14:paraId="3E4574AF" w14:textId="5066F676" w:rsidR="006F667E" w:rsidRPr="00301B0F" w:rsidRDefault="006F667E" w:rsidP="008D25C5">
            <w:pPr>
              <w:pStyle w:val="dlist-term"/>
              <w:spacing w:before="0" w:beforeAutospacing="0" w:after="0" w:afterAutospacing="0" w:line="312" w:lineRule="atLeast"/>
              <w:rPr>
                <w:color w:val="000000" w:themeColor="text1"/>
                <w:lang w:val="en-GB"/>
              </w:rPr>
            </w:pPr>
          </w:p>
        </w:tc>
        <w:tc>
          <w:tcPr>
            <w:tcW w:w="0" w:type="auto"/>
            <w:hideMark/>
          </w:tcPr>
          <w:p w14:paraId="099A347F" w14:textId="2016CD08" w:rsidR="006F667E" w:rsidRPr="00301B0F" w:rsidRDefault="006F667E" w:rsidP="008D25C5">
            <w:pPr>
              <w:pStyle w:val="norm"/>
              <w:spacing w:before="0" w:beforeAutospacing="0" w:after="0" w:afterAutospacing="0" w:line="312" w:lineRule="atLeast"/>
              <w:jc w:val="both"/>
              <w:rPr>
                <w:color w:val="000000" w:themeColor="text1"/>
                <w:lang w:val="en-GB"/>
              </w:rPr>
            </w:pPr>
          </w:p>
        </w:tc>
      </w:tr>
    </w:tbl>
    <w:p w14:paraId="582F2F5D" w14:textId="77777777" w:rsidR="006F667E" w:rsidRPr="00301B0F" w:rsidRDefault="006F667E" w:rsidP="001D4B0D">
      <w:pPr>
        <w:shd w:val="clear" w:color="auto" w:fill="FFFFFF"/>
        <w:spacing w:before="120"/>
        <w:rPr>
          <w:rFonts w:eastAsia="Arial Unicode MS"/>
          <w:vanish/>
          <w:color w:val="000000" w:themeColor="text1"/>
          <w:lang w:val="en-GB"/>
        </w:rPr>
      </w:pPr>
    </w:p>
    <w:p w14:paraId="2138E147" w14:textId="09293383" w:rsidR="007E6E1A" w:rsidRPr="00301B0F" w:rsidRDefault="001A7FB6" w:rsidP="001D4B0D">
      <w:pPr>
        <w:pStyle w:val="ListParagraph"/>
        <w:numPr>
          <w:ilvl w:val="1"/>
          <w:numId w:val="27"/>
        </w:numPr>
        <w:tabs>
          <w:tab w:val="left" w:pos="567"/>
        </w:tabs>
        <w:spacing w:before="120"/>
        <w:ind w:left="0" w:firstLine="567"/>
        <w:contextualSpacing w:val="0"/>
        <w:jc w:val="both"/>
        <w:rPr>
          <w:color w:val="000000" w:themeColor="text1"/>
          <w:lang w:val="en-GB"/>
        </w:rPr>
      </w:pPr>
      <w:r w:rsidRPr="00301B0F">
        <w:rPr>
          <w:color w:val="000000" w:themeColor="text1"/>
          <w:lang w:val="en-GB" w:eastAsia="ro-MD"/>
        </w:rPr>
        <w:t>Paragraphs</w:t>
      </w:r>
      <w:r w:rsidR="000D2636" w:rsidRPr="00301B0F">
        <w:rPr>
          <w:color w:val="000000" w:themeColor="text1"/>
          <w:lang w:val="en-GB" w:eastAsia="ro-MD"/>
        </w:rPr>
        <w:t xml:space="preserve"> 108</w:t>
      </w:r>
      <w:r w:rsidR="000D2636" w:rsidRPr="00301B0F">
        <w:rPr>
          <w:color w:val="000000" w:themeColor="text1"/>
          <w:vertAlign w:val="superscript"/>
          <w:lang w:val="en-GB" w:eastAsia="ro-MD"/>
        </w:rPr>
        <w:t>1</w:t>
      </w:r>
      <w:r w:rsidR="000D2636" w:rsidRPr="00301B0F">
        <w:rPr>
          <w:color w:val="000000" w:themeColor="text1"/>
          <w:lang w:val="en-GB" w:eastAsia="ro-MD"/>
        </w:rPr>
        <w:t xml:space="preserve"> </w:t>
      </w:r>
      <w:r w:rsidRPr="00301B0F">
        <w:rPr>
          <w:color w:val="000000" w:themeColor="text1"/>
          <w:lang w:val="en-GB" w:eastAsia="ro-MD"/>
        </w:rPr>
        <w:t xml:space="preserve">and </w:t>
      </w:r>
      <w:r w:rsidR="000D2636" w:rsidRPr="00301B0F">
        <w:rPr>
          <w:color w:val="000000" w:themeColor="text1"/>
          <w:lang w:val="en-GB" w:eastAsia="ro-MD"/>
        </w:rPr>
        <w:t>108</w:t>
      </w:r>
      <w:r w:rsidR="000D2636" w:rsidRPr="00301B0F">
        <w:rPr>
          <w:color w:val="000000" w:themeColor="text1"/>
          <w:vertAlign w:val="superscript"/>
          <w:lang w:val="en-GB" w:eastAsia="ro-MD"/>
        </w:rPr>
        <w:t>2</w:t>
      </w:r>
      <w:r w:rsidR="000D2636" w:rsidRPr="00301B0F">
        <w:rPr>
          <w:color w:val="000000" w:themeColor="text1"/>
          <w:lang w:val="en-GB" w:eastAsia="ro-MD"/>
        </w:rPr>
        <w:t xml:space="preserve"> </w:t>
      </w:r>
      <w:r w:rsidRPr="00301B0F">
        <w:rPr>
          <w:color w:val="000000" w:themeColor="text1"/>
          <w:lang w:val="en-GB" w:eastAsia="ro-MD"/>
        </w:rPr>
        <w:t>shall be added with the following content</w:t>
      </w:r>
      <w:r w:rsidR="000D2636" w:rsidRPr="00301B0F">
        <w:rPr>
          <w:color w:val="000000" w:themeColor="text1"/>
          <w:lang w:val="en-GB" w:eastAsia="ro-MD"/>
        </w:rPr>
        <w:t>:</w:t>
      </w:r>
    </w:p>
    <w:p w14:paraId="40D2A645" w14:textId="4C331911" w:rsidR="000D2636" w:rsidRPr="00301B0F" w:rsidRDefault="001A7FB6" w:rsidP="000D2636">
      <w:pPr>
        <w:jc w:val="both"/>
        <w:rPr>
          <w:color w:val="000000" w:themeColor="text1"/>
          <w:lang w:val="en-GB" w:eastAsia="ro-MD"/>
        </w:rPr>
      </w:pPr>
      <w:r w:rsidRPr="00301B0F">
        <w:rPr>
          <w:color w:val="000000" w:themeColor="text1"/>
          <w:lang w:val="en-GB"/>
        </w:rPr>
        <w:t>“</w:t>
      </w:r>
      <w:r w:rsidR="000D2636" w:rsidRPr="00301B0F">
        <w:rPr>
          <w:b/>
          <w:bCs/>
          <w:color w:val="000000" w:themeColor="text1"/>
          <w:lang w:val="en-GB" w:eastAsia="ro-MD"/>
        </w:rPr>
        <w:t>108</w:t>
      </w:r>
      <w:r w:rsidR="000D2636" w:rsidRPr="00301B0F">
        <w:rPr>
          <w:b/>
          <w:bCs/>
          <w:color w:val="000000" w:themeColor="text1"/>
          <w:vertAlign w:val="superscript"/>
          <w:lang w:val="en-GB" w:eastAsia="ro-MD"/>
        </w:rPr>
        <w:t>1</w:t>
      </w:r>
      <w:r w:rsidR="000D2636" w:rsidRPr="00301B0F">
        <w:rPr>
          <w:b/>
          <w:bCs/>
          <w:color w:val="000000" w:themeColor="text1"/>
          <w:lang w:val="en-GB" w:eastAsia="ro-MD"/>
        </w:rPr>
        <w:t xml:space="preserve">. </w:t>
      </w:r>
      <w:r w:rsidRPr="00301B0F">
        <w:rPr>
          <w:color w:val="000000" w:themeColor="text1"/>
          <w:lang w:val="en-GB" w:eastAsia="ro-MD"/>
        </w:rPr>
        <w:t xml:space="preserve">If the conditions set forth in paragraph </w:t>
      </w:r>
      <w:r w:rsidR="000D2636" w:rsidRPr="00301B0F">
        <w:rPr>
          <w:color w:val="000000" w:themeColor="text1"/>
          <w:lang w:val="en-GB" w:eastAsia="ro-MD"/>
        </w:rPr>
        <w:t>51</w:t>
      </w:r>
      <w:r w:rsidR="000D2636" w:rsidRPr="00301B0F">
        <w:rPr>
          <w:color w:val="000000" w:themeColor="text1"/>
          <w:vertAlign w:val="superscript"/>
          <w:lang w:val="en-GB" w:eastAsia="ro-MD"/>
        </w:rPr>
        <w:t>1</w:t>
      </w:r>
      <w:r w:rsidR="000D2636" w:rsidRPr="00301B0F">
        <w:rPr>
          <w:color w:val="000000" w:themeColor="text1"/>
          <w:lang w:val="en-GB" w:eastAsia="ro-MD"/>
        </w:rPr>
        <w:t xml:space="preserve">, </w:t>
      </w:r>
      <w:r w:rsidRPr="00301B0F">
        <w:rPr>
          <w:color w:val="000000" w:themeColor="text1"/>
          <w:lang w:val="en-GB" w:eastAsia="ro-MD"/>
        </w:rPr>
        <w:t>are met, banks must apply the following treatment to the portion of the exposure secured by the current surrender value of life insurance policies pledged in favour of the lending bank</w:t>
      </w:r>
      <w:r w:rsidR="000D2636" w:rsidRPr="00301B0F">
        <w:rPr>
          <w:color w:val="000000" w:themeColor="text1"/>
          <w:lang w:val="en-GB" w:eastAsia="ro-MD"/>
        </w:rPr>
        <w:t>:</w:t>
      </w:r>
    </w:p>
    <w:p w14:paraId="6C418EB7" w14:textId="7E973AEF" w:rsidR="000D2636" w:rsidRPr="00301B0F" w:rsidRDefault="000D2636" w:rsidP="000D2636">
      <w:pPr>
        <w:ind w:firstLine="567"/>
        <w:jc w:val="both"/>
        <w:rPr>
          <w:color w:val="000000" w:themeColor="text1"/>
          <w:lang w:val="en-GB" w:eastAsia="ro-MD"/>
        </w:rPr>
      </w:pPr>
      <w:r w:rsidRPr="00301B0F">
        <w:rPr>
          <w:color w:val="000000" w:themeColor="text1"/>
          <w:lang w:val="en-GB" w:eastAsia="ro-MD"/>
        </w:rPr>
        <w:t xml:space="preserve">1) </w:t>
      </w:r>
      <w:r w:rsidR="001A7FB6" w:rsidRPr="00301B0F">
        <w:rPr>
          <w:color w:val="000000" w:themeColor="text1"/>
          <w:lang w:val="en-GB" w:eastAsia="ro-MD"/>
        </w:rPr>
        <w:t xml:space="preserve">If the exposure is subject to the standardised approach, it must be risk-weighted using the risk weights specified in paragraph </w:t>
      </w:r>
      <w:r w:rsidRPr="00301B0F">
        <w:rPr>
          <w:color w:val="000000" w:themeColor="text1"/>
          <w:lang w:val="en-GB" w:eastAsia="ro-MD"/>
        </w:rPr>
        <w:t>108</w:t>
      </w:r>
      <w:r w:rsidRPr="00301B0F">
        <w:rPr>
          <w:color w:val="000000" w:themeColor="text1"/>
          <w:vertAlign w:val="superscript"/>
          <w:lang w:val="en-GB" w:eastAsia="ro-MD"/>
        </w:rPr>
        <w:t>2</w:t>
      </w:r>
      <w:r w:rsidRPr="00301B0F">
        <w:rPr>
          <w:color w:val="000000" w:themeColor="text1"/>
          <w:lang w:val="en-GB" w:eastAsia="ro-MD"/>
        </w:rPr>
        <w:t>;</w:t>
      </w:r>
    </w:p>
    <w:p w14:paraId="2A0CE0AB" w14:textId="69AC15D5" w:rsidR="000D2636" w:rsidRPr="00301B0F" w:rsidRDefault="000D2636" w:rsidP="000D2636">
      <w:pPr>
        <w:ind w:firstLine="567"/>
        <w:jc w:val="both"/>
        <w:rPr>
          <w:color w:val="000000" w:themeColor="text1"/>
          <w:lang w:val="en-GB" w:eastAsia="ro-MD"/>
        </w:rPr>
      </w:pPr>
      <w:r w:rsidRPr="00301B0F">
        <w:rPr>
          <w:color w:val="000000" w:themeColor="text1"/>
          <w:lang w:val="en-GB" w:eastAsia="ro-MD"/>
        </w:rPr>
        <w:t xml:space="preserve">2) </w:t>
      </w:r>
      <w:r w:rsidR="001A7FB6" w:rsidRPr="00301B0F">
        <w:rPr>
          <w:color w:val="000000" w:themeColor="text1"/>
          <w:lang w:val="en-GB" w:eastAsia="ro-MD"/>
        </w:rPr>
        <w:t>if the exposure is subject to the IRB approach but not to the bank’s own estimates of loss given default, it is assigned a loss given default of 40%</w:t>
      </w:r>
      <w:r w:rsidRPr="00301B0F">
        <w:rPr>
          <w:color w:val="000000" w:themeColor="text1"/>
          <w:lang w:val="en-GB" w:eastAsia="ro-MD"/>
        </w:rPr>
        <w:t>.</w:t>
      </w:r>
    </w:p>
    <w:p w14:paraId="4B13C009" w14:textId="7E129919" w:rsidR="000D2636" w:rsidRPr="00301B0F" w:rsidRDefault="001A7FB6" w:rsidP="000D2636">
      <w:pPr>
        <w:ind w:firstLine="567"/>
        <w:jc w:val="both"/>
        <w:rPr>
          <w:color w:val="000000" w:themeColor="text1"/>
          <w:lang w:val="en-GB" w:eastAsia="ro-MD"/>
        </w:rPr>
      </w:pPr>
      <w:r w:rsidRPr="00301B0F">
        <w:rPr>
          <w:color w:val="000000" w:themeColor="text1"/>
          <w:lang w:val="en-GB" w:eastAsia="ro-MD"/>
        </w:rPr>
        <w:lastRenderedPageBreak/>
        <w:t>In the event of a currency mismatch, banks must reduce the current surrender value in accordance with paragraph 112, with the credit protection amount being the current surrender value of the life insurance policy</w:t>
      </w:r>
      <w:r w:rsidR="000D2636" w:rsidRPr="00301B0F">
        <w:rPr>
          <w:color w:val="000000" w:themeColor="text1"/>
          <w:lang w:val="en-GB" w:eastAsia="ro-MD"/>
        </w:rPr>
        <w:t>.</w:t>
      </w:r>
    </w:p>
    <w:p w14:paraId="4FBAF0C9" w14:textId="76555322" w:rsidR="000D2636" w:rsidRPr="00301B0F" w:rsidRDefault="000D2636" w:rsidP="00D244A6">
      <w:pPr>
        <w:jc w:val="both"/>
        <w:rPr>
          <w:color w:val="000000" w:themeColor="text1"/>
          <w:lang w:val="en-GB" w:eastAsia="ro-MD"/>
        </w:rPr>
      </w:pPr>
      <w:r w:rsidRPr="00301B0F">
        <w:rPr>
          <w:b/>
          <w:bCs/>
          <w:color w:val="000000" w:themeColor="text1"/>
          <w:lang w:val="en-GB" w:eastAsia="ro-MD"/>
        </w:rPr>
        <w:t>108</w:t>
      </w:r>
      <w:r w:rsidRPr="00301B0F">
        <w:rPr>
          <w:b/>
          <w:bCs/>
          <w:color w:val="000000" w:themeColor="text1"/>
          <w:vertAlign w:val="superscript"/>
          <w:lang w:val="en-GB" w:eastAsia="ro-MD"/>
        </w:rPr>
        <w:t>2</w:t>
      </w:r>
      <w:r w:rsidRPr="00301B0F">
        <w:rPr>
          <w:b/>
          <w:bCs/>
          <w:color w:val="000000" w:themeColor="text1"/>
          <w:lang w:val="en-GB" w:eastAsia="ro-MD"/>
        </w:rPr>
        <w:t>.</w:t>
      </w:r>
      <w:r w:rsidRPr="00301B0F">
        <w:rPr>
          <w:color w:val="000000" w:themeColor="text1"/>
          <w:lang w:val="en-GB" w:eastAsia="ro-MD"/>
        </w:rPr>
        <w:t xml:space="preserve"> </w:t>
      </w:r>
      <w:r w:rsidR="001A7FB6" w:rsidRPr="00301B0F">
        <w:rPr>
          <w:color w:val="000000" w:themeColor="text1"/>
          <w:lang w:val="en-GB" w:eastAsia="ro-MD"/>
        </w:rPr>
        <w:t xml:space="preserve">For the purposes of paragraph </w:t>
      </w:r>
      <w:r w:rsidRPr="00301B0F">
        <w:rPr>
          <w:color w:val="000000" w:themeColor="text1"/>
          <w:lang w:val="en-GB" w:eastAsia="ro-MD"/>
        </w:rPr>
        <w:t>108</w:t>
      </w:r>
      <w:r w:rsidRPr="00301B0F">
        <w:rPr>
          <w:color w:val="000000" w:themeColor="text1"/>
          <w:vertAlign w:val="superscript"/>
          <w:lang w:val="en-GB" w:eastAsia="ro-MD"/>
        </w:rPr>
        <w:t>1</w:t>
      </w:r>
      <w:r w:rsidRPr="00301B0F">
        <w:rPr>
          <w:color w:val="000000" w:themeColor="text1"/>
          <w:lang w:val="en-GB" w:eastAsia="ro-MD"/>
        </w:rPr>
        <w:t xml:space="preserve"> sub</w:t>
      </w:r>
      <w:r w:rsidR="001A7FB6" w:rsidRPr="00301B0F">
        <w:rPr>
          <w:color w:val="000000" w:themeColor="text1"/>
          <w:lang w:val="en-GB" w:eastAsia="ro-MD"/>
        </w:rPr>
        <w:t>-paragraph</w:t>
      </w:r>
      <w:r w:rsidRPr="00301B0F">
        <w:rPr>
          <w:color w:val="000000" w:themeColor="text1"/>
          <w:lang w:val="en-GB" w:eastAsia="ro-MD"/>
        </w:rPr>
        <w:t xml:space="preserve"> 1), </w:t>
      </w:r>
      <w:r w:rsidR="001A7FB6" w:rsidRPr="00301B0F">
        <w:rPr>
          <w:color w:val="000000" w:themeColor="text1"/>
          <w:lang w:val="en-GB" w:eastAsia="ro-MD"/>
        </w:rPr>
        <w:t>banks shall assign the following risk weights, based on the risk weight assigned to an unsecured senior exposure to the entity providing the life insurance</w:t>
      </w:r>
      <w:r w:rsidRPr="00301B0F">
        <w:rPr>
          <w:color w:val="000000" w:themeColor="text1"/>
          <w:lang w:val="en-GB" w:eastAsia="ro-MD"/>
        </w:rPr>
        <w:t>:</w:t>
      </w:r>
    </w:p>
    <w:p w14:paraId="51B42EDA" w14:textId="7B6C3E65" w:rsidR="000D2636" w:rsidRPr="00301B0F" w:rsidRDefault="000D2636" w:rsidP="000D2636">
      <w:pPr>
        <w:ind w:firstLine="567"/>
        <w:jc w:val="both"/>
        <w:rPr>
          <w:color w:val="000000" w:themeColor="text1"/>
          <w:lang w:val="en-GB" w:eastAsia="ro-MD"/>
        </w:rPr>
      </w:pPr>
      <w:r w:rsidRPr="00301B0F">
        <w:rPr>
          <w:color w:val="000000" w:themeColor="text1"/>
          <w:lang w:val="en-GB" w:eastAsia="ro-MD"/>
        </w:rPr>
        <w:t xml:space="preserve">1) </w:t>
      </w:r>
      <w:r w:rsidR="001A7FB6" w:rsidRPr="00301B0F">
        <w:rPr>
          <w:color w:val="000000" w:themeColor="text1"/>
          <w:lang w:val="en-GB" w:eastAsia="ro-MD"/>
        </w:rPr>
        <w:t xml:space="preserve">a risk weight of 20%, where the senior unsecured exposure to the undertaking providing life insurance is assigned a risk weight of </w:t>
      </w:r>
      <w:r w:rsidRPr="00301B0F">
        <w:rPr>
          <w:color w:val="000000" w:themeColor="text1"/>
          <w:lang w:val="en-GB" w:eastAsia="ro-MD"/>
        </w:rPr>
        <w:t>20%;</w:t>
      </w:r>
    </w:p>
    <w:p w14:paraId="08764740" w14:textId="089B9D38" w:rsidR="000D2636" w:rsidRPr="00301B0F" w:rsidRDefault="000D2636" w:rsidP="000D2636">
      <w:pPr>
        <w:ind w:firstLine="567"/>
        <w:jc w:val="both"/>
        <w:rPr>
          <w:color w:val="000000" w:themeColor="text1"/>
          <w:lang w:val="en-GB" w:eastAsia="ro-MD"/>
        </w:rPr>
      </w:pPr>
      <w:r w:rsidRPr="00301B0F">
        <w:rPr>
          <w:color w:val="000000" w:themeColor="text1"/>
          <w:lang w:val="en-GB" w:eastAsia="ro-MD"/>
        </w:rPr>
        <w:t xml:space="preserve">2) </w:t>
      </w:r>
      <w:r w:rsidR="00C633B7" w:rsidRPr="00301B0F">
        <w:rPr>
          <w:color w:val="000000" w:themeColor="text1"/>
          <w:lang w:val="en-GB" w:eastAsia="ro-MD"/>
        </w:rPr>
        <w:t xml:space="preserve">a risk weight of 35%, where the senior unsecured exposure to the undertaking providing the life insurance is assigned a risk weight of </w:t>
      </w:r>
      <w:r w:rsidRPr="00301B0F">
        <w:rPr>
          <w:color w:val="000000" w:themeColor="text1"/>
          <w:lang w:val="en-GB" w:eastAsia="ro-MD"/>
        </w:rPr>
        <w:t>50%;</w:t>
      </w:r>
    </w:p>
    <w:p w14:paraId="3C9824DD" w14:textId="6DC9667E" w:rsidR="000D2636" w:rsidRPr="00301B0F" w:rsidRDefault="000D2636" w:rsidP="000D2636">
      <w:pPr>
        <w:ind w:firstLine="567"/>
        <w:jc w:val="both"/>
        <w:rPr>
          <w:color w:val="000000" w:themeColor="text1"/>
          <w:lang w:val="en-GB" w:eastAsia="ro-MD"/>
        </w:rPr>
      </w:pPr>
      <w:r w:rsidRPr="00301B0F">
        <w:rPr>
          <w:color w:val="000000" w:themeColor="text1"/>
          <w:lang w:val="en-GB" w:eastAsia="ro-MD"/>
        </w:rPr>
        <w:t xml:space="preserve">3) </w:t>
      </w:r>
      <w:r w:rsidR="00C633B7" w:rsidRPr="00301B0F">
        <w:rPr>
          <w:color w:val="000000" w:themeColor="text1"/>
          <w:lang w:val="en-GB" w:eastAsia="ro-MD"/>
        </w:rPr>
        <w:t xml:space="preserve">a risk weight of </w:t>
      </w:r>
      <w:r w:rsidRPr="00301B0F">
        <w:rPr>
          <w:color w:val="000000" w:themeColor="text1"/>
          <w:lang w:val="en-GB" w:eastAsia="ro-MD"/>
        </w:rPr>
        <w:t xml:space="preserve">52,5%, </w:t>
      </w:r>
      <w:r w:rsidR="00C633B7" w:rsidRPr="00301B0F">
        <w:rPr>
          <w:color w:val="000000" w:themeColor="text1"/>
          <w:lang w:val="en-GB" w:eastAsia="ro-MD"/>
        </w:rPr>
        <w:t>where the senior unsecured exposure to the undertaking providing the life insurance is assigned a risk weight of</w:t>
      </w:r>
      <w:r w:rsidRPr="00301B0F">
        <w:rPr>
          <w:color w:val="000000" w:themeColor="text1"/>
          <w:lang w:val="en-GB" w:eastAsia="ro-MD"/>
        </w:rPr>
        <w:t xml:space="preserve"> 75%;</w:t>
      </w:r>
    </w:p>
    <w:p w14:paraId="33CAF81F" w14:textId="2905E5C3" w:rsidR="000D2636" w:rsidRPr="00301B0F" w:rsidRDefault="007227CD" w:rsidP="000D2636">
      <w:pPr>
        <w:ind w:firstLine="567"/>
        <w:jc w:val="both"/>
        <w:rPr>
          <w:color w:val="000000" w:themeColor="text1"/>
          <w:lang w:val="en-GB" w:eastAsia="ro-MD"/>
        </w:rPr>
      </w:pPr>
      <w:r w:rsidRPr="00301B0F">
        <w:rPr>
          <w:color w:val="000000" w:themeColor="text1"/>
          <w:lang w:val="en-GB" w:eastAsia="ro-MD"/>
        </w:rPr>
        <w:t>4</w:t>
      </w:r>
      <w:r w:rsidR="000D2636" w:rsidRPr="00301B0F">
        <w:rPr>
          <w:color w:val="000000" w:themeColor="text1"/>
          <w:lang w:val="en-GB" w:eastAsia="ro-MD"/>
        </w:rPr>
        <w:t xml:space="preserve">) </w:t>
      </w:r>
      <w:r w:rsidR="00C633B7" w:rsidRPr="00301B0F">
        <w:rPr>
          <w:color w:val="000000" w:themeColor="text1"/>
          <w:lang w:val="en-GB" w:eastAsia="ro-MD"/>
        </w:rPr>
        <w:t xml:space="preserve">a risk weight of </w:t>
      </w:r>
      <w:r w:rsidR="000D2636" w:rsidRPr="00301B0F">
        <w:rPr>
          <w:color w:val="000000" w:themeColor="text1"/>
          <w:lang w:val="en-GB" w:eastAsia="ro-MD"/>
        </w:rPr>
        <w:t xml:space="preserve">70%, </w:t>
      </w:r>
      <w:r w:rsidR="00C633B7" w:rsidRPr="00301B0F">
        <w:rPr>
          <w:color w:val="000000" w:themeColor="text1"/>
          <w:lang w:val="en-GB" w:eastAsia="ro-MD"/>
        </w:rPr>
        <w:t xml:space="preserve">where the senior unsecured exposure to the undertaking providing the life insurance is assigned a risk weight of </w:t>
      </w:r>
      <w:r w:rsidR="000D2636" w:rsidRPr="00301B0F">
        <w:rPr>
          <w:color w:val="000000" w:themeColor="text1"/>
          <w:lang w:val="en-GB" w:eastAsia="ro-MD"/>
        </w:rPr>
        <w:t>100%;</w:t>
      </w:r>
    </w:p>
    <w:p w14:paraId="5EDC7578" w14:textId="1531188E" w:rsidR="000D2636" w:rsidRPr="00301B0F" w:rsidRDefault="007227CD" w:rsidP="007227CD">
      <w:pPr>
        <w:tabs>
          <w:tab w:val="left" w:pos="567"/>
        </w:tabs>
        <w:ind w:firstLine="567"/>
        <w:jc w:val="both"/>
        <w:rPr>
          <w:color w:val="000000" w:themeColor="text1"/>
          <w:lang w:val="en-GB"/>
        </w:rPr>
      </w:pPr>
      <w:r w:rsidRPr="00301B0F">
        <w:rPr>
          <w:color w:val="000000" w:themeColor="text1"/>
          <w:lang w:val="en-GB" w:eastAsia="ro-MD"/>
        </w:rPr>
        <w:t>5</w:t>
      </w:r>
      <w:r w:rsidR="000D2636" w:rsidRPr="00301B0F">
        <w:rPr>
          <w:color w:val="000000" w:themeColor="text1"/>
          <w:lang w:val="en-GB" w:eastAsia="ro-MD"/>
        </w:rPr>
        <w:t xml:space="preserve">) </w:t>
      </w:r>
      <w:r w:rsidR="00C633B7" w:rsidRPr="00301B0F">
        <w:rPr>
          <w:color w:val="000000" w:themeColor="text1"/>
          <w:lang w:val="en-GB" w:eastAsia="ro-MD"/>
        </w:rPr>
        <w:t xml:space="preserve">a risk weight of </w:t>
      </w:r>
      <w:r w:rsidR="000D2636" w:rsidRPr="00301B0F">
        <w:rPr>
          <w:color w:val="000000" w:themeColor="text1"/>
          <w:lang w:val="en-GB" w:eastAsia="ro-MD"/>
        </w:rPr>
        <w:t xml:space="preserve">150%, </w:t>
      </w:r>
      <w:r w:rsidR="00C633B7" w:rsidRPr="00301B0F">
        <w:rPr>
          <w:color w:val="000000" w:themeColor="text1"/>
          <w:lang w:val="en-GB" w:eastAsia="ro-MD"/>
        </w:rPr>
        <w:t xml:space="preserve">where the senior unsecured exposure to the undertaking providing the life insurance is assigned a risk weight of </w:t>
      </w:r>
      <w:r w:rsidR="000D2636" w:rsidRPr="00301B0F">
        <w:rPr>
          <w:color w:val="000000" w:themeColor="text1"/>
          <w:lang w:val="en-GB" w:eastAsia="ro-MD"/>
        </w:rPr>
        <w:t>150%.</w:t>
      </w:r>
      <w:r w:rsidRPr="00301B0F">
        <w:rPr>
          <w:color w:val="000000" w:themeColor="text1"/>
          <w:sz w:val="18"/>
          <w:szCs w:val="18"/>
          <w:lang w:val="en-GB" w:eastAsia="ro-MD"/>
        </w:rPr>
        <w:t>”.</w:t>
      </w:r>
    </w:p>
    <w:p w14:paraId="4FD520F2" w14:textId="1571B868" w:rsidR="00A70C68" w:rsidRPr="00301B0F" w:rsidRDefault="001A7FB6" w:rsidP="00F7502D">
      <w:pPr>
        <w:pStyle w:val="ListParagraph"/>
        <w:numPr>
          <w:ilvl w:val="1"/>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eastAsia="ro-MD"/>
        </w:rPr>
        <w:t>Chapter</w:t>
      </w:r>
      <w:r w:rsidR="000B2CBE" w:rsidRPr="00301B0F">
        <w:rPr>
          <w:color w:val="000000" w:themeColor="text1"/>
          <w:lang w:val="en-GB" w:eastAsia="ro-MD"/>
        </w:rPr>
        <w:t xml:space="preserve"> IX</w:t>
      </w:r>
      <w:r w:rsidR="00A70C68" w:rsidRPr="00301B0F">
        <w:rPr>
          <w:color w:val="000000" w:themeColor="text1"/>
          <w:lang w:val="en-GB" w:eastAsia="ro-MD"/>
        </w:rPr>
        <w:t>:</w:t>
      </w:r>
    </w:p>
    <w:p w14:paraId="1BDD497D" w14:textId="24015433" w:rsidR="00A70C68" w:rsidRPr="00301B0F" w:rsidRDefault="00AD0B56" w:rsidP="00A70C68">
      <w:pPr>
        <w:pStyle w:val="ListParagraph"/>
        <w:numPr>
          <w:ilvl w:val="2"/>
          <w:numId w:val="27"/>
        </w:numPr>
        <w:ind w:left="0" w:firstLine="567"/>
        <w:rPr>
          <w:color w:val="000000" w:themeColor="text1"/>
          <w:lang w:val="en-GB" w:eastAsia="ro-MD"/>
        </w:rPr>
      </w:pPr>
      <w:r w:rsidRPr="00301B0F">
        <w:rPr>
          <w:color w:val="000000" w:themeColor="text1"/>
          <w:lang w:val="en-GB" w:eastAsia="ro-MD"/>
        </w:rPr>
        <w:t xml:space="preserve">section </w:t>
      </w:r>
      <w:r w:rsidR="000B2CBE" w:rsidRPr="00301B0F">
        <w:rPr>
          <w:color w:val="000000" w:themeColor="text1"/>
          <w:lang w:val="en-GB" w:eastAsia="ro-MD"/>
        </w:rPr>
        <w:t>1</w:t>
      </w:r>
      <w:r w:rsidR="000B2CBE" w:rsidRPr="00301B0F">
        <w:rPr>
          <w:color w:val="000000" w:themeColor="text1"/>
          <w:vertAlign w:val="superscript"/>
          <w:lang w:val="en-GB" w:eastAsia="ro-MD"/>
        </w:rPr>
        <w:t>1</w:t>
      </w:r>
      <w:r w:rsidR="000B2CBE" w:rsidRPr="00301B0F">
        <w:rPr>
          <w:color w:val="000000" w:themeColor="text1"/>
          <w:lang w:val="en-GB" w:eastAsia="ro-MD"/>
        </w:rPr>
        <w:t xml:space="preserve"> </w:t>
      </w:r>
      <w:r w:rsidR="00C633B7" w:rsidRPr="00301B0F">
        <w:rPr>
          <w:color w:val="000000" w:themeColor="text1"/>
          <w:lang w:val="en-GB" w:eastAsia="ro-MD"/>
        </w:rPr>
        <w:t>shall be added with the following content</w:t>
      </w:r>
      <w:r w:rsidR="000B2CBE" w:rsidRPr="00301B0F">
        <w:rPr>
          <w:color w:val="000000" w:themeColor="text1"/>
          <w:lang w:val="en-GB" w:eastAsia="ro-MD"/>
        </w:rPr>
        <w:t>:</w:t>
      </w:r>
      <w:r w:rsidR="00A70C68" w:rsidRPr="00301B0F">
        <w:rPr>
          <w:color w:val="000000" w:themeColor="text1"/>
          <w:lang w:val="en-GB"/>
        </w:rPr>
        <w:t xml:space="preserve"> </w:t>
      </w:r>
    </w:p>
    <w:p w14:paraId="3E5AFADC" w14:textId="5F246BE7" w:rsidR="00A70C68" w:rsidRPr="00301B0F" w:rsidRDefault="00C633B7" w:rsidP="00A70C68">
      <w:pPr>
        <w:jc w:val="center"/>
        <w:rPr>
          <w:color w:val="000000" w:themeColor="text1"/>
          <w:lang w:val="en-GB" w:eastAsia="ro-MD"/>
        </w:rPr>
      </w:pPr>
      <w:r w:rsidRPr="00301B0F">
        <w:rPr>
          <w:color w:val="000000" w:themeColor="text1"/>
          <w:lang w:val="en-GB"/>
        </w:rPr>
        <w:t>“</w:t>
      </w:r>
      <w:r w:rsidR="00A70C68" w:rsidRPr="00301B0F">
        <w:rPr>
          <w:b/>
          <w:bCs/>
          <w:i/>
          <w:iCs/>
          <w:color w:val="000000" w:themeColor="text1"/>
          <w:lang w:val="en-GB" w:eastAsia="ro-MD"/>
        </w:rPr>
        <w:t>Sec</w:t>
      </w:r>
      <w:r w:rsidRPr="00301B0F">
        <w:rPr>
          <w:b/>
          <w:bCs/>
          <w:i/>
          <w:iCs/>
          <w:color w:val="000000" w:themeColor="text1"/>
          <w:lang w:val="en-GB" w:eastAsia="ro-MD"/>
        </w:rPr>
        <w:t>tion</w:t>
      </w:r>
      <w:r w:rsidR="00A70C68" w:rsidRPr="00301B0F">
        <w:rPr>
          <w:b/>
          <w:bCs/>
          <w:i/>
          <w:iCs/>
          <w:color w:val="000000" w:themeColor="text1"/>
          <w:lang w:val="en-GB" w:eastAsia="ro-MD"/>
        </w:rPr>
        <w:t xml:space="preserve"> 1</w:t>
      </w:r>
      <w:r w:rsidR="00A70C68" w:rsidRPr="00301B0F">
        <w:rPr>
          <w:b/>
          <w:bCs/>
          <w:i/>
          <w:iCs/>
          <w:color w:val="000000" w:themeColor="text1"/>
          <w:vertAlign w:val="superscript"/>
          <w:lang w:val="en-GB" w:eastAsia="ro-MD"/>
        </w:rPr>
        <w:t>1</w:t>
      </w:r>
    </w:p>
    <w:p w14:paraId="4356A94E" w14:textId="7DC37A72" w:rsidR="00A70C68" w:rsidRPr="00301B0F" w:rsidRDefault="00C633B7" w:rsidP="00A70C68">
      <w:pPr>
        <w:jc w:val="center"/>
        <w:rPr>
          <w:b/>
          <w:bCs/>
          <w:i/>
          <w:iCs/>
          <w:color w:val="000000" w:themeColor="text1"/>
          <w:lang w:val="en-GB" w:eastAsia="ro-MD"/>
        </w:rPr>
      </w:pPr>
      <w:r w:rsidRPr="00301B0F">
        <w:rPr>
          <w:b/>
          <w:bCs/>
          <w:i/>
          <w:iCs/>
          <w:color w:val="000000" w:themeColor="text1"/>
          <w:lang w:val="en-GB" w:eastAsia="ro-MD"/>
        </w:rPr>
        <w:t>Calculation of risk-weighted exposure amounts and expected loss amounts in the case of partial protection and segmentation into tranches</w:t>
      </w:r>
    </w:p>
    <w:p w14:paraId="0999B3E4" w14:textId="7790BFC1" w:rsidR="00A70C68" w:rsidRPr="00301B0F" w:rsidRDefault="00A70C68" w:rsidP="00A70C68">
      <w:pPr>
        <w:jc w:val="both"/>
        <w:rPr>
          <w:color w:val="000000" w:themeColor="text1"/>
          <w:lang w:val="en-GB" w:eastAsia="ro-MD"/>
        </w:rPr>
      </w:pPr>
      <w:r w:rsidRPr="00301B0F">
        <w:rPr>
          <w:b/>
          <w:bCs/>
          <w:color w:val="000000" w:themeColor="text1"/>
          <w:lang w:val="en-GB" w:eastAsia="ro-MD"/>
        </w:rPr>
        <w:t>113</w:t>
      </w:r>
      <w:r w:rsidRPr="00301B0F">
        <w:rPr>
          <w:b/>
          <w:bCs/>
          <w:color w:val="000000" w:themeColor="text1"/>
          <w:vertAlign w:val="superscript"/>
          <w:lang w:val="en-GB" w:eastAsia="ro-MD"/>
        </w:rPr>
        <w:t>1</w:t>
      </w:r>
      <w:r w:rsidRPr="00301B0F">
        <w:rPr>
          <w:b/>
          <w:bCs/>
          <w:color w:val="000000" w:themeColor="text1"/>
          <w:lang w:val="en-GB" w:eastAsia="ro-MD"/>
        </w:rPr>
        <w:t>.</w:t>
      </w:r>
      <w:r w:rsidRPr="00301B0F">
        <w:rPr>
          <w:color w:val="000000" w:themeColor="text1"/>
          <w:lang w:val="en-GB" w:eastAsia="ro-MD"/>
        </w:rPr>
        <w:t xml:space="preserve"> </w:t>
      </w:r>
      <w:r w:rsidR="00C633B7" w:rsidRPr="00301B0F">
        <w:rPr>
          <w:color w:val="000000" w:themeColor="text1"/>
          <w:lang w:val="en-GB" w:eastAsia="ro-MD"/>
        </w:rPr>
        <w:t>If a bank transfers, in one or more tranches, a portion of the risk associated with a loan, the rules set forth in Regulation No 221/2025 on the prudential treatment of securitisation shall apply</w:t>
      </w:r>
      <w:r w:rsidRPr="00301B0F">
        <w:rPr>
          <w:color w:val="000000" w:themeColor="text1"/>
          <w:lang w:val="en-GB" w:eastAsia="ro-MD"/>
        </w:rPr>
        <w:t xml:space="preserve">. </w:t>
      </w:r>
    </w:p>
    <w:p w14:paraId="6896F57C" w14:textId="73562D5E" w:rsidR="00A70C68" w:rsidRPr="00301B0F" w:rsidRDefault="00A70C68" w:rsidP="00A70C68">
      <w:pPr>
        <w:jc w:val="both"/>
        <w:rPr>
          <w:color w:val="000000" w:themeColor="text1"/>
          <w:sz w:val="18"/>
          <w:szCs w:val="18"/>
          <w:lang w:val="en-GB" w:eastAsia="ro-MD"/>
        </w:rPr>
      </w:pPr>
      <w:r w:rsidRPr="00301B0F">
        <w:rPr>
          <w:b/>
          <w:bCs/>
          <w:color w:val="000000" w:themeColor="text1"/>
          <w:lang w:val="en-GB" w:eastAsia="ro-MD"/>
        </w:rPr>
        <w:t>113</w:t>
      </w:r>
      <w:r w:rsidRPr="00301B0F">
        <w:rPr>
          <w:b/>
          <w:bCs/>
          <w:color w:val="000000" w:themeColor="text1"/>
          <w:vertAlign w:val="superscript"/>
          <w:lang w:val="en-GB" w:eastAsia="ro-MD"/>
        </w:rPr>
        <w:t>2</w:t>
      </w:r>
      <w:r w:rsidRPr="00301B0F">
        <w:rPr>
          <w:b/>
          <w:bCs/>
          <w:color w:val="000000" w:themeColor="text1"/>
          <w:lang w:val="en-GB" w:eastAsia="ro-MD"/>
        </w:rPr>
        <w:t>.</w:t>
      </w:r>
      <w:r w:rsidRPr="00301B0F">
        <w:rPr>
          <w:color w:val="000000" w:themeColor="text1"/>
          <w:lang w:val="en-GB" w:eastAsia="ro-MD"/>
        </w:rPr>
        <w:t xml:space="preserve"> </w:t>
      </w:r>
      <w:r w:rsidR="00C633B7" w:rsidRPr="00301B0F">
        <w:rPr>
          <w:color w:val="000000" w:themeColor="text1"/>
          <w:lang w:val="en-GB" w:eastAsia="ro-MD"/>
        </w:rPr>
        <w:t>Banks may consider that the materiality thresholds for payments—below which no payments are made in the event of losses—are equivalent to retained positions that bear the first losses and give rise to a risk transfer segmented into tranches</w:t>
      </w:r>
      <w:r w:rsidRPr="00301B0F">
        <w:rPr>
          <w:color w:val="000000" w:themeColor="text1"/>
          <w:lang w:val="en-GB" w:eastAsia="ro-MD"/>
        </w:rPr>
        <w:t>.”.</w:t>
      </w:r>
    </w:p>
    <w:p w14:paraId="2B5B74B7" w14:textId="402D926B" w:rsidR="000D2636" w:rsidRPr="00301B0F" w:rsidRDefault="004B530E" w:rsidP="00AD0B56">
      <w:pPr>
        <w:pStyle w:val="ListParagraph"/>
        <w:numPr>
          <w:ilvl w:val="2"/>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 xml:space="preserve">the </w:t>
      </w:r>
      <w:r w:rsidR="00C633B7" w:rsidRPr="00301B0F">
        <w:rPr>
          <w:color w:val="000000" w:themeColor="text1"/>
          <w:lang w:val="en-GB"/>
        </w:rPr>
        <w:t>title of Section 2 shall read as follows:</w:t>
      </w:r>
    </w:p>
    <w:p w14:paraId="444B348D" w14:textId="08E20728" w:rsidR="00A70C68" w:rsidRPr="00301B0F" w:rsidRDefault="00C633B7" w:rsidP="00A70C68">
      <w:pPr>
        <w:jc w:val="center"/>
        <w:rPr>
          <w:color w:val="000000" w:themeColor="text1"/>
          <w:lang w:val="en-GB" w:eastAsia="ro-MD"/>
        </w:rPr>
      </w:pPr>
      <w:r w:rsidRPr="00301B0F">
        <w:rPr>
          <w:color w:val="000000" w:themeColor="text1"/>
          <w:lang w:val="en-GB"/>
        </w:rPr>
        <w:t>“</w:t>
      </w:r>
      <w:r w:rsidR="00A70C68" w:rsidRPr="00301B0F">
        <w:rPr>
          <w:b/>
          <w:bCs/>
          <w:i/>
          <w:iCs/>
          <w:color w:val="000000" w:themeColor="text1"/>
          <w:lang w:val="en-GB" w:eastAsia="ro-MD"/>
        </w:rPr>
        <w:t>Sec</w:t>
      </w:r>
      <w:r w:rsidRPr="00301B0F">
        <w:rPr>
          <w:b/>
          <w:bCs/>
          <w:i/>
          <w:iCs/>
          <w:color w:val="000000" w:themeColor="text1"/>
          <w:lang w:val="en-GB" w:eastAsia="ro-MD"/>
        </w:rPr>
        <w:t>tion</w:t>
      </w:r>
      <w:r w:rsidR="00A70C68" w:rsidRPr="00301B0F">
        <w:rPr>
          <w:b/>
          <w:bCs/>
          <w:i/>
          <w:iCs/>
          <w:color w:val="000000" w:themeColor="text1"/>
          <w:lang w:val="en-GB" w:eastAsia="ro-MD"/>
        </w:rPr>
        <w:t xml:space="preserve"> 2</w:t>
      </w:r>
    </w:p>
    <w:p w14:paraId="64842CCB" w14:textId="3EEB6619" w:rsidR="00A70C68" w:rsidRPr="00301B0F" w:rsidRDefault="00C633B7" w:rsidP="00A70C68">
      <w:pPr>
        <w:tabs>
          <w:tab w:val="left" w:pos="567"/>
        </w:tabs>
        <w:jc w:val="both"/>
        <w:rPr>
          <w:i/>
          <w:iCs/>
          <w:color w:val="000000" w:themeColor="text1"/>
          <w:lang w:val="en-GB"/>
        </w:rPr>
      </w:pPr>
      <w:r w:rsidRPr="00301B0F">
        <w:rPr>
          <w:b/>
          <w:bCs/>
          <w:i/>
          <w:iCs/>
          <w:color w:val="000000" w:themeColor="text1"/>
          <w:lang w:val="en-GB"/>
        </w:rPr>
        <w:t>Calculating risk-weighted exposure amounts under the substitution approach where the guaranteed exposure is treated under the Standardised Approach</w:t>
      </w:r>
      <w:r w:rsidR="00A70C68" w:rsidRPr="00301B0F">
        <w:rPr>
          <w:i/>
          <w:iCs/>
          <w:color w:val="000000" w:themeColor="text1"/>
          <w:lang w:val="en-GB"/>
        </w:rPr>
        <w:t>”;</w:t>
      </w:r>
    </w:p>
    <w:p w14:paraId="30F55281" w14:textId="2F81F8DB" w:rsidR="00A70C68" w:rsidRPr="00301B0F" w:rsidRDefault="004B530E" w:rsidP="00FB709D">
      <w:pPr>
        <w:pStyle w:val="ListParagraph"/>
        <w:numPr>
          <w:ilvl w:val="2"/>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 xml:space="preserve">in </w:t>
      </w:r>
      <w:r w:rsidR="00C633B7" w:rsidRPr="00301B0F">
        <w:rPr>
          <w:color w:val="000000" w:themeColor="text1"/>
          <w:lang w:val="en-GB"/>
        </w:rPr>
        <w:t>paragraph 114, after the words “risk-weighted exposure amounts,” the following text is added: “with unfunded credit protection for which the respective banks apply the standardised approach, regardless of the treatment of comparable direct exposures to the protection provider</w:t>
      </w:r>
      <w:r w:rsidR="0027027C" w:rsidRPr="00301B0F">
        <w:rPr>
          <w:color w:val="000000" w:themeColor="text1"/>
          <w:lang w:val="en-GB" w:eastAsia="ro-MD"/>
        </w:rPr>
        <w:t>,”;</w:t>
      </w:r>
    </w:p>
    <w:p w14:paraId="03A7259F" w14:textId="7B20AC61" w:rsidR="00A70C68" w:rsidRPr="00301B0F" w:rsidRDefault="004B530E" w:rsidP="00FB709D">
      <w:pPr>
        <w:pStyle w:val="ListParagraph"/>
        <w:numPr>
          <w:ilvl w:val="2"/>
          <w:numId w:val="27"/>
        </w:numPr>
        <w:tabs>
          <w:tab w:val="left" w:pos="567"/>
        </w:tabs>
        <w:spacing w:before="80"/>
        <w:ind w:left="0" w:firstLine="567"/>
        <w:contextualSpacing w:val="0"/>
        <w:jc w:val="both"/>
        <w:rPr>
          <w:color w:val="000000" w:themeColor="text1"/>
          <w:lang w:val="en-GB"/>
        </w:rPr>
      </w:pPr>
      <w:r w:rsidRPr="00301B0F">
        <w:rPr>
          <w:color w:val="000000" w:themeColor="text1"/>
          <w:lang w:val="en-GB"/>
        </w:rPr>
        <w:t xml:space="preserve">in </w:t>
      </w:r>
      <w:r w:rsidR="00906674" w:rsidRPr="00301B0F">
        <w:rPr>
          <w:color w:val="000000" w:themeColor="text1"/>
          <w:lang w:val="en-GB"/>
        </w:rPr>
        <w:t>paragraph 116, after the words “central bank,” the following text shall be added: “as if such exposures were direct exposures to the central government or the central bank, provided that such direct exposures meet the conditions set forth in paragraphs 31–33 of the aforementioned regulation and</w:t>
      </w:r>
      <w:r w:rsidR="00417D44" w:rsidRPr="00301B0F">
        <w:rPr>
          <w:color w:val="000000" w:themeColor="text1"/>
          <w:lang w:val="en-GB" w:eastAsia="ro-MD"/>
        </w:rPr>
        <w:t>”;</w:t>
      </w:r>
    </w:p>
    <w:p w14:paraId="5ACCD37C" w14:textId="1D8FCAC8" w:rsidR="00FB709D" w:rsidRPr="00301B0F" w:rsidRDefault="00093C0C" w:rsidP="00FB709D">
      <w:pPr>
        <w:pStyle w:val="ListParagraph"/>
        <w:numPr>
          <w:ilvl w:val="2"/>
          <w:numId w:val="27"/>
        </w:numPr>
        <w:ind w:left="0" w:firstLine="567"/>
        <w:rPr>
          <w:color w:val="000000" w:themeColor="text1"/>
          <w:lang w:val="en-GB"/>
        </w:rPr>
      </w:pPr>
      <w:r w:rsidRPr="00301B0F">
        <w:rPr>
          <w:color w:val="000000" w:themeColor="text1"/>
          <w:lang w:val="en-GB"/>
        </w:rPr>
        <w:t xml:space="preserve">sections </w:t>
      </w:r>
      <w:r w:rsidR="0052750B" w:rsidRPr="00301B0F">
        <w:rPr>
          <w:color w:val="000000" w:themeColor="text1"/>
          <w:lang w:val="en-GB"/>
        </w:rPr>
        <w:t>2</w:t>
      </w:r>
      <w:r w:rsidR="00FB709D" w:rsidRPr="00301B0F">
        <w:rPr>
          <w:color w:val="000000" w:themeColor="text1"/>
          <w:vertAlign w:val="superscript"/>
          <w:lang w:val="en-GB"/>
        </w:rPr>
        <w:t>1</w:t>
      </w:r>
      <w:r w:rsidR="0052750B" w:rsidRPr="00301B0F">
        <w:rPr>
          <w:color w:val="000000" w:themeColor="text1"/>
          <w:lang w:val="en-GB"/>
        </w:rPr>
        <w:t>-2</w:t>
      </w:r>
      <w:r w:rsidR="0052750B" w:rsidRPr="00301B0F">
        <w:rPr>
          <w:color w:val="000000" w:themeColor="text1"/>
          <w:vertAlign w:val="superscript"/>
          <w:lang w:val="en-GB"/>
        </w:rPr>
        <w:t>3</w:t>
      </w:r>
      <w:r w:rsidR="00FB709D" w:rsidRPr="00301B0F">
        <w:rPr>
          <w:color w:val="000000" w:themeColor="text1"/>
          <w:lang w:val="en-GB"/>
        </w:rPr>
        <w:t xml:space="preserve"> </w:t>
      </w:r>
      <w:r w:rsidR="00906674" w:rsidRPr="00301B0F">
        <w:rPr>
          <w:color w:val="000000" w:themeColor="text1"/>
          <w:lang w:val="en-GB"/>
        </w:rPr>
        <w:t>shall be added with the following content</w:t>
      </w:r>
      <w:r w:rsidR="00FB709D" w:rsidRPr="00301B0F">
        <w:rPr>
          <w:color w:val="000000" w:themeColor="text1"/>
          <w:lang w:val="en-GB"/>
        </w:rPr>
        <w:t xml:space="preserve">: </w:t>
      </w:r>
    </w:p>
    <w:p w14:paraId="396B84B6" w14:textId="1A6D5703" w:rsidR="009A79F2" w:rsidRPr="00301B0F" w:rsidRDefault="00906674" w:rsidP="009A79F2">
      <w:pPr>
        <w:jc w:val="center"/>
        <w:rPr>
          <w:color w:val="000000" w:themeColor="text1"/>
          <w:lang w:val="en-GB" w:eastAsia="ro-MD"/>
        </w:rPr>
      </w:pPr>
      <w:r w:rsidRPr="00301B0F">
        <w:rPr>
          <w:color w:val="000000" w:themeColor="text1"/>
          <w:lang w:val="en-GB"/>
        </w:rPr>
        <w:t>“</w:t>
      </w:r>
      <w:r w:rsidR="009A79F2" w:rsidRPr="00301B0F">
        <w:rPr>
          <w:b/>
          <w:bCs/>
          <w:i/>
          <w:iCs/>
          <w:color w:val="000000" w:themeColor="text1"/>
          <w:lang w:val="en-GB" w:eastAsia="ro-MD"/>
        </w:rPr>
        <w:t>Sec</w:t>
      </w:r>
      <w:r w:rsidRPr="00301B0F">
        <w:rPr>
          <w:b/>
          <w:bCs/>
          <w:i/>
          <w:iCs/>
          <w:color w:val="000000" w:themeColor="text1"/>
          <w:lang w:val="en-GB" w:eastAsia="ro-MD"/>
        </w:rPr>
        <w:t>tion</w:t>
      </w:r>
      <w:r w:rsidR="009A79F2" w:rsidRPr="00301B0F">
        <w:rPr>
          <w:b/>
          <w:bCs/>
          <w:i/>
          <w:iCs/>
          <w:color w:val="000000" w:themeColor="text1"/>
          <w:lang w:val="en-GB" w:eastAsia="ro-MD"/>
        </w:rPr>
        <w:t xml:space="preserve"> 2</w:t>
      </w:r>
      <w:r w:rsidR="009A79F2" w:rsidRPr="00301B0F">
        <w:rPr>
          <w:b/>
          <w:bCs/>
          <w:i/>
          <w:iCs/>
          <w:color w:val="000000" w:themeColor="text1"/>
          <w:vertAlign w:val="superscript"/>
          <w:lang w:val="en-GB" w:eastAsia="ro-MD"/>
        </w:rPr>
        <w:t>1</w:t>
      </w:r>
    </w:p>
    <w:p w14:paraId="6CCF10A8" w14:textId="024242E1" w:rsidR="009A79F2" w:rsidRPr="00301B0F" w:rsidRDefault="00906674" w:rsidP="009A79F2">
      <w:pPr>
        <w:ind w:firstLine="567"/>
        <w:jc w:val="center"/>
        <w:rPr>
          <w:b/>
          <w:bCs/>
          <w:i/>
          <w:iCs/>
          <w:color w:val="000000" w:themeColor="text1"/>
          <w:lang w:val="en-GB" w:eastAsia="ro-MD"/>
        </w:rPr>
      </w:pPr>
      <w:r w:rsidRPr="00301B0F">
        <w:rPr>
          <w:b/>
          <w:bCs/>
          <w:i/>
          <w:iCs/>
          <w:color w:val="000000" w:themeColor="text1"/>
          <w:lang w:val="en-GB" w:eastAsia="ro-MD"/>
        </w:rPr>
        <w:t>Calculating risk-weighted exposure amounts and expected loss amounts under the substitution approach where the guaranteed exposure is treated under the IRB Approach and a comparable direct exposure to the protection provider is treated under the Standardised Approach</w:t>
      </w:r>
    </w:p>
    <w:p w14:paraId="5ED7E632" w14:textId="63812028" w:rsidR="009A79F2" w:rsidRPr="00301B0F" w:rsidRDefault="009A79F2" w:rsidP="00DA7A66">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1</w:t>
      </w:r>
      <w:r w:rsidRPr="00301B0F">
        <w:rPr>
          <w:b/>
          <w:bCs/>
          <w:color w:val="000000" w:themeColor="text1"/>
          <w:lang w:val="en-GB" w:eastAsia="ro-MD"/>
        </w:rPr>
        <w:t>.</w:t>
      </w:r>
      <w:r w:rsidRPr="00301B0F">
        <w:rPr>
          <w:color w:val="000000" w:themeColor="text1"/>
          <w:lang w:val="en-GB" w:eastAsia="ro-MD"/>
        </w:rPr>
        <w:t xml:space="preserve"> </w:t>
      </w:r>
      <w:r w:rsidR="00906674" w:rsidRPr="00301B0F">
        <w:rPr>
          <w:color w:val="000000" w:themeColor="text1"/>
          <w:lang w:val="en-GB" w:eastAsia="ro-MD"/>
        </w:rPr>
        <w:t>For exposures with unfunded credit protection for which a bank applies the IRB Approach, and where comparable direct exposures to the protection provider are treated under the Standardised Approach, banks shall calculate the risk-weighted exposure amounts in accordance with the following formula</w:t>
      </w:r>
      <w:r w:rsidRPr="00301B0F">
        <w:rPr>
          <w:color w:val="000000" w:themeColor="text1"/>
          <w:lang w:val="en-GB" w:eastAsia="ro-MD"/>
        </w:rPr>
        <w:t>:</w:t>
      </w:r>
    </w:p>
    <w:p w14:paraId="1BA6FE35" w14:textId="77777777" w:rsidR="009A79F2" w:rsidRPr="00301B0F" w:rsidRDefault="009A79F2" w:rsidP="009A79F2">
      <w:pPr>
        <w:ind w:firstLine="567"/>
        <w:jc w:val="center"/>
        <w:rPr>
          <w:color w:val="000000" w:themeColor="text1"/>
          <w:lang w:val="en-GB" w:eastAsia="ro-MD"/>
        </w:rPr>
      </w:pPr>
      <w:proofErr w:type="gramStart"/>
      <w:r w:rsidRPr="00301B0F">
        <w:rPr>
          <w:color w:val="000000" w:themeColor="text1"/>
          <w:lang w:val="en-GB" w:eastAsia="ro-MD"/>
        </w:rPr>
        <w:lastRenderedPageBreak/>
        <w:t>max{</w:t>
      </w:r>
      <w:proofErr w:type="gramEnd"/>
      <w:r w:rsidRPr="00301B0F">
        <w:rPr>
          <w:color w:val="000000" w:themeColor="text1"/>
          <w:lang w:val="en-GB" w:eastAsia="ro-MD"/>
        </w:rPr>
        <w:t>0, E – G</w:t>
      </w:r>
      <w:r w:rsidRPr="00301B0F">
        <w:rPr>
          <w:color w:val="000000" w:themeColor="text1"/>
          <w:vertAlign w:val="subscript"/>
          <w:lang w:val="en-GB" w:eastAsia="ro-MD"/>
        </w:rPr>
        <w:t>A</w:t>
      </w:r>
      <w:r w:rsidRPr="00301B0F">
        <w:rPr>
          <w:color w:val="000000" w:themeColor="text1"/>
          <w:lang w:val="en-GB" w:eastAsia="ro-MD"/>
        </w:rPr>
        <w:t>} · r + G</w:t>
      </w:r>
      <w:r w:rsidRPr="00301B0F">
        <w:rPr>
          <w:color w:val="000000" w:themeColor="text1"/>
          <w:vertAlign w:val="subscript"/>
          <w:lang w:val="en-GB" w:eastAsia="ro-MD"/>
        </w:rPr>
        <w:t>A</w:t>
      </w:r>
      <w:r w:rsidRPr="00301B0F">
        <w:rPr>
          <w:color w:val="000000" w:themeColor="text1"/>
          <w:lang w:val="en-GB" w:eastAsia="ro-MD"/>
        </w:rPr>
        <w:t xml:space="preserve"> · g</w:t>
      </w:r>
    </w:p>
    <w:p w14:paraId="7072FC43" w14:textId="474573A6" w:rsidR="009A79F2" w:rsidRPr="00301B0F" w:rsidRDefault="00906674" w:rsidP="009A79F2">
      <w:pPr>
        <w:ind w:firstLine="567"/>
        <w:jc w:val="both"/>
        <w:rPr>
          <w:color w:val="000000" w:themeColor="text1"/>
          <w:lang w:val="en-GB" w:eastAsia="ro-MD"/>
        </w:rPr>
      </w:pPr>
      <w:r w:rsidRPr="00301B0F">
        <w:rPr>
          <w:color w:val="000000" w:themeColor="text1"/>
          <w:lang w:val="en-GB" w:eastAsia="ro-MD"/>
        </w:rPr>
        <w:t>where</w:t>
      </w:r>
      <w:r w:rsidR="009A79F2" w:rsidRPr="00301B0F">
        <w:rPr>
          <w:color w:val="000000" w:themeColor="text1"/>
          <w:lang w:val="en-GB" w:eastAsia="ro-MD"/>
        </w:rPr>
        <w:t>:</w:t>
      </w:r>
    </w:p>
    <w:p w14:paraId="06447B59" w14:textId="6CA3E42C" w:rsidR="009A79F2" w:rsidRPr="00301B0F" w:rsidRDefault="009A79F2" w:rsidP="009A79F2">
      <w:pPr>
        <w:ind w:firstLine="567"/>
        <w:jc w:val="both"/>
        <w:rPr>
          <w:color w:val="000000" w:themeColor="text1"/>
          <w:lang w:val="en-GB" w:eastAsia="ro-MD"/>
        </w:rPr>
      </w:pPr>
      <w:r w:rsidRPr="00301B0F">
        <w:rPr>
          <w:color w:val="000000" w:themeColor="text1"/>
          <w:lang w:val="en-GB" w:eastAsia="ro-MD"/>
        </w:rPr>
        <w:t xml:space="preserve">E = </w:t>
      </w:r>
      <w:r w:rsidR="00906674" w:rsidRPr="00301B0F">
        <w:rPr>
          <w:color w:val="000000" w:themeColor="text1"/>
          <w:lang w:val="en-GB" w:eastAsia="ro-MD"/>
        </w:rPr>
        <w:t>the exposure value determined in accordance with the National Bank of Moldova’s normative act on credit risk treatment under the internal ratings</w:t>
      </w:r>
      <w:r w:rsidR="007A1F62">
        <w:rPr>
          <w:color w:val="000000" w:themeColor="text1"/>
          <w:lang w:val="en-GB" w:eastAsia="ro-MD"/>
        </w:rPr>
        <w:t xml:space="preserve"> </w:t>
      </w:r>
      <w:r w:rsidR="00906674" w:rsidRPr="00301B0F">
        <w:rPr>
          <w:color w:val="000000" w:themeColor="text1"/>
          <w:lang w:val="en-GB" w:eastAsia="ro-MD"/>
        </w:rPr>
        <w:t>based (IRB) approach; for this purpose, banks calculate the exposure value for off-balance-sheet items, other than derivative financial instruments treated under the IRB approach, using a CCF of 100% instead of the CCF based on the standardised approach or the CCF based on the IRB approach set forth in the normative act of the National Bank of Moldova regarding the treatment of credit risk under the internal ratings</w:t>
      </w:r>
      <w:r w:rsidR="00D313EA">
        <w:rPr>
          <w:color w:val="000000" w:themeColor="text1"/>
          <w:lang w:val="en-GB" w:eastAsia="ro-MD"/>
        </w:rPr>
        <w:t xml:space="preserve"> </w:t>
      </w:r>
      <w:r w:rsidR="00906674" w:rsidRPr="00301B0F">
        <w:rPr>
          <w:color w:val="000000" w:themeColor="text1"/>
          <w:lang w:val="en-GB" w:eastAsia="ro-MD"/>
        </w:rPr>
        <w:t>based approach</w:t>
      </w:r>
      <w:r w:rsidRPr="00301B0F">
        <w:rPr>
          <w:color w:val="000000" w:themeColor="text1"/>
          <w:lang w:val="en-GB" w:eastAsia="ro-MD"/>
        </w:rPr>
        <w:t>;</w:t>
      </w:r>
    </w:p>
    <w:p w14:paraId="0C3CB31E" w14:textId="2022883F" w:rsidR="009A79F2" w:rsidRPr="00301B0F" w:rsidRDefault="009A79F2" w:rsidP="009A79F2">
      <w:pPr>
        <w:ind w:firstLine="567"/>
        <w:jc w:val="both"/>
        <w:rPr>
          <w:color w:val="000000" w:themeColor="text1"/>
          <w:lang w:val="en-GB" w:eastAsia="ro-MD"/>
        </w:rPr>
      </w:pPr>
      <w:r w:rsidRPr="00301B0F">
        <w:rPr>
          <w:color w:val="000000" w:themeColor="text1"/>
          <w:lang w:val="en-GB" w:eastAsia="ro-MD"/>
        </w:rPr>
        <w:t>G</w:t>
      </w:r>
      <w:r w:rsidRPr="00301B0F">
        <w:rPr>
          <w:color w:val="000000" w:themeColor="text1"/>
          <w:vertAlign w:val="subscript"/>
          <w:lang w:val="en-GB" w:eastAsia="ro-MD"/>
        </w:rPr>
        <w:t>A</w:t>
      </w:r>
      <w:r w:rsidRPr="00301B0F">
        <w:rPr>
          <w:color w:val="000000" w:themeColor="text1"/>
          <w:lang w:val="en-GB" w:eastAsia="ro-MD"/>
        </w:rPr>
        <w:t xml:space="preserve"> = </w:t>
      </w:r>
      <w:r w:rsidR="00906674" w:rsidRPr="00301B0F">
        <w:rPr>
          <w:color w:val="000000" w:themeColor="text1"/>
          <w:lang w:val="en-GB" w:eastAsia="ro-MD"/>
        </w:rPr>
        <w:t>the amount of the credit protection adjusted for foreign exchange risk (G*), calculated in accordance with paragraph 112 and further adjusted for any maturity mismatch, as provided for in Title V</w:t>
      </w:r>
      <w:r w:rsidRPr="00301B0F">
        <w:rPr>
          <w:color w:val="000000" w:themeColor="text1"/>
          <w:lang w:val="en-GB" w:eastAsia="ro-MD"/>
        </w:rPr>
        <w:t>;</w:t>
      </w:r>
    </w:p>
    <w:p w14:paraId="0FB038B4" w14:textId="24B80099" w:rsidR="009A79F2" w:rsidRPr="00301B0F" w:rsidRDefault="009A79F2" w:rsidP="009A79F2">
      <w:pPr>
        <w:ind w:firstLine="567"/>
        <w:jc w:val="both"/>
        <w:rPr>
          <w:color w:val="000000" w:themeColor="text1"/>
          <w:lang w:val="en-GB" w:eastAsia="ro-MD"/>
        </w:rPr>
      </w:pPr>
      <w:r w:rsidRPr="00301B0F">
        <w:rPr>
          <w:color w:val="000000" w:themeColor="text1"/>
          <w:lang w:val="en-GB" w:eastAsia="ro-MD"/>
        </w:rPr>
        <w:t xml:space="preserve">r = </w:t>
      </w:r>
      <w:r w:rsidR="00906674" w:rsidRPr="00301B0F">
        <w:rPr>
          <w:color w:val="000000" w:themeColor="text1"/>
          <w:lang w:val="en-GB" w:eastAsia="ro-MD"/>
        </w:rPr>
        <w:t xml:space="preserve">the risk weight assigned to exposures to the obligor, as specified in the National Bank of Moldova’s normative act on the treatment of credit risk under the internal </w:t>
      </w:r>
      <w:proofErr w:type="gramStart"/>
      <w:r w:rsidR="00906674" w:rsidRPr="00301B0F">
        <w:rPr>
          <w:color w:val="000000" w:themeColor="text1"/>
          <w:lang w:val="en-GB" w:eastAsia="ro-MD"/>
        </w:rPr>
        <w:t>ratings</w:t>
      </w:r>
      <w:r w:rsidR="00D313EA">
        <w:rPr>
          <w:color w:val="000000" w:themeColor="text1"/>
          <w:lang w:val="en-GB" w:eastAsia="ro-MD"/>
        </w:rPr>
        <w:t xml:space="preserve"> </w:t>
      </w:r>
      <w:r w:rsidR="00906674" w:rsidRPr="00301B0F">
        <w:rPr>
          <w:color w:val="000000" w:themeColor="text1"/>
          <w:lang w:val="en-GB" w:eastAsia="ro-MD"/>
        </w:rPr>
        <w:t>based</w:t>
      </w:r>
      <w:proofErr w:type="gramEnd"/>
      <w:r w:rsidR="00906674" w:rsidRPr="00301B0F">
        <w:rPr>
          <w:color w:val="000000" w:themeColor="text1"/>
          <w:lang w:val="en-GB" w:eastAsia="ro-MD"/>
        </w:rPr>
        <w:t xml:space="preserve"> approach</w:t>
      </w:r>
      <w:r w:rsidRPr="00301B0F">
        <w:rPr>
          <w:color w:val="000000" w:themeColor="text1"/>
          <w:lang w:val="en-GB" w:eastAsia="ro-MD"/>
        </w:rPr>
        <w:t>;</w:t>
      </w:r>
    </w:p>
    <w:p w14:paraId="767C0AB5" w14:textId="0A8B2EFB" w:rsidR="009A79F2" w:rsidRPr="00301B0F" w:rsidRDefault="009A79F2" w:rsidP="009A79F2">
      <w:pPr>
        <w:ind w:firstLine="567"/>
        <w:jc w:val="both"/>
        <w:rPr>
          <w:color w:val="000000" w:themeColor="text1"/>
          <w:lang w:val="en-GB" w:eastAsia="ro-MD"/>
        </w:rPr>
      </w:pPr>
      <w:r w:rsidRPr="00301B0F">
        <w:rPr>
          <w:color w:val="000000" w:themeColor="text1"/>
          <w:lang w:val="en-GB" w:eastAsia="ro-MD"/>
        </w:rPr>
        <w:t xml:space="preserve">g = </w:t>
      </w:r>
      <w:r w:rsidR="00906674" w:rsidRPr="00301B0F">
        <w:rPr>
          <w:color w:val="000000" w:themeColor="text1"/>
          <w:lang w:val="en-GB" w:eastAsia="ro-MD"/>
        </w:rPr>
        <w:t>the risk weight applicable to a direct exposure to the protection provider, as specified in Regulation No 111/2018</w:t>
      </w:r>
      <w:r w:rsidRPr="00301B0F">
        <w:rPr>
          <w:color w:val="000000" w:themeColor="text1"/>
          <w:lang w:val="en-GB" w:eastAsia="ro-MD"/>
        </w:rPr>
        <w:t>.</w:t>
      </w:r>
    </w:p>
    <w:p w14:paraId="7DE288A6" w14:textId="050F3B8E" w:rsidR="009A79F2" w:rsidRPr="00301B0F" w:rsidRDefault="009A79F2" w:rsidP="00D87955">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2</w:t>
      </w:r>
      <w:r w:rsidRPr="00301B0F">
        <w:rPr>
          <w:b/>
          <w:bCs/>
          <w:color w:val="000000" w:themeColor="text1"/>
          <w:lang w:val="en-GB" w:eastAsia="ro-MD"/>
        </w:rPr>
        <w:t>.</w:t>
      </w:r>
      <w:r w:rsidRPr="00301B0F">
        <w:rPr>
          <w:color w:val="000000" w:themeColor="text1"/>
          <w:lang w:val="en-GB" w:eastAsia="ro-MD"/>
        </w:rPr>
        <w:t xml:space="preserve"> </w:t>
      </w:r>
      <w:r w:rsidR="00906674" w:rsidRPr="00301B0F">
        <w:rPr>
          <w:color w:val="000000" w:themeColor="text1"/>
          <w:lang w:val="en-GB" w:eastAsia="ro-MD"/>
        </w:rPr>
        <w:t xml:space="preserve">If the amount of the credit protection </w:t>
      </w:r>
      <w:r w:rsidRPr="00301B0F">
        <w:rPr>
          <w:color w:val="000000" w:themeColor="text1"/>
          <w:lang w:val="en-GB" w:eastAsia="ro-MD"/>
        </w:rPr>
        <w:t>(G</w:t>
      </w:r>
      <w:r w:rsidRPr="00301B0F">
        <w:rPr>
          <w:color w:val="000000" w:themeColor="text1"/>
          <w:vertAlign w:val="subscript"/>
          <w:lang w:val="en-GB" w:eastAsia="ro-MD"/>
        </w:rPr>
        <w:t>A</w:t>
      </w:r>
      <w:r w:rsidRPr="00301B0F">
        <w:rPr>
          <w:color w:val="000000" w:themeColor="text1"/>
          <w:lang w:val="en-GB" w:eastAsia="ro-MD"/>
        </w:rPr>
        <w:t xml:space="preserve">) </w:t>
      </w:r>
      <w:r w:rsidR="00906674" w:rsidRPr="00301B0F">
        <w:rPr>
          <w:color w:val="000000" w:themeColor="text1"/>
          <w:lang w:val="en-GB" w:eastAsia="ro-MD"/>
        </w:rPr>
        <w:t xml:space="preserve">is less than the exposure amount </w:t>
      </w:r>
      <w:r w:rsidRPr="00301B0F">
        <w:rPr>
          <w:color w:val="000000" w:themeColor="text1"/>
          <w:lang w:val="en-GB" w:eastAsia="ro-MD"/>
        </w:rPr>
        <w:t xml:space="preserve">(E), </w:t>
      </w:r>
      <w:r w:rsidR="00906674" w:rsidRPr="00301B0F">
        <w:rPr>
          <w:color w:val="000000" w:themeColor="text1"/>
          <w:lang w:val="en-GB" w:eastAsia="ro-MD"/>
        </w:rPr>
        <w:t xml:space="preserve">banks may apply the formula in paragraph </w:t>
      </w:r>
      <w:r w:rsidRPr="00301B0F">
        <w:rPr>
          <w:color w:val="000000" w:themeColor="text1"/>
          <w:lang w:val="en-GB" w:eastAsia="ro-MD"/>
        </w:rPr>
        <w:t>116</w:t>
      </w:r>
      <w:r w:rsidRPr="00301B0F">
        <w:rPr>
          <w:color w:val="000000" w:themeColor="text1"/>
          <w:vertAlign w:val="superscript"/>
          <w:lang w:val="en-GB" w:eastAsia="ro-MD"/>
        </w:rPr>
        <w:t>1</w:t>
      </w:r>
      <w:r w:rsidRPr="00301B0F">
        <w:rPr>
          <w:color w:val="000000" w:themeColor="text1"/>
          <w:lang w:val="en-GB" w:eastAsia="ro-MD"/>
        </w:rPr>
        <w:t xml:space="preserve"> </w:t>
      </w:r>
      <w:r w:rsidR="00906674" w:rsidRPr="00301B0F">
        <w:rPr>
          <w:color w:val="000000" w:themeColor="text1"/>
          <w:lang w:val="en-GB" w:eastAsia="ro-MD"/>
        </w:rPr>
        <w:t>only if the protected and unprotected portions of the exposure have the same seniority</w:t>
      </w:r>
      <w:r w:rsidRPr="00301B0F">
        <w:rPr>
          <w:color w:val="000000" w:themeColor="text1"/>
          <w:lang w:val="en-GB" w:eastAsia="ro-MD"/>
        </w:rPr>
        <w:t>.</w:t>
      </w:r>
    </w:p>
    <w:p w14:paraId="76A133C0" w14:textId="444ED370" w:rsidR="009A79F2" w:rsidRPr="00301B0F" w:rsidRDefault="009A79F2" w:rsidP="00D87955">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3</w:t>
      </w:r>
      <w:r w:rsidRPr="00301B0F">
        <w:rPr>
          <w:b/>
          <w:bCs/>
          <w:color w:val="000000" w:themeColor="text1"/>
          <w:lang w:val="en-GB" w:eastAsia="ro-MD"/>
        </w:rPr>
        <w:t>.</w:t>
      </w:r>
      <w:r w:rsidRPr="00301B0F">
        <w:rPr>
          <w:color w:val="000000" w:themeColor="text1"/>
          <w:lang w:val="en-GB" w:eastAsia="ro-MD"/>
        </w:rPr>
        <w:t xml:space="preserve"> </w:t>
      </w:r>
      <w:r w:rsidR="00906674" w:rsidRPr="00301B0F">
        <w:rPr>
          <w:color w:val="000000" w:themeColor="text1"/>
          <w:lang w:val="en-GB" w:eastAsia="ro-MD"/>
        </w:rPr>
        <w:t>Banks may extend the preferential treatment provided for in Regulation No 111/2018 to exposures or portions of exposures guaranteed by the central government or the central bank, as if such exposures were direct exposures to the central government or the central bank, provided that such direct exposures meet the conditions set forth in paragraphs 31–33 of the aforementioned regulation</w:t>
      </w:r>
      <w:r w:rsidRPr="00301B0F">
        <w:rPr>
          <w:color w:val="000000" w:themeColor="text1"/>
          <w:lang w:val="en-GB" w:eastAsia="ro-MD"/>
        </w:rPr>
        <w:t>.</w:t>
      </w:r>
    </w:p>
    <w:p w14:paraId="214B38E0" w14:textId="6496F73A" w:rsidR="009A79F2" w:rsidRPr="00301B0F" w:rsidRDefault="009A79F2" w:rsidP="00D87955">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4</w:t>
      </w:r>
      <w:r w:rsidRPr="00301B0F">
        <w:rPr>
          <w:b/>
          <w:bCs/>
          <w:color w:val="000000" w:themeColor="text1"/>
          <w:lang w:val="en-GB" w:eastAsia="ro-MD"/>
        </w:rPr>
        <w:t>.</w:t>
      </w:r>
      <w:r w:rsidRPr="00301B0F">
        <w:rPr>
          <w:color w:val="000000" w:themeColor="text1"/>
          <w:lang w:val="en-GB" w:eastAsia="ro-MD"/>
        </w:rPr>
        <w:t xml:space="preserve"> </w:t>
      </w:r>
      <w:r w:rsidR="00906674" w:rsidRPr="00301B0F">
        <w:rPr>
          <w:color w:val="000000" w:themeColor="text1"/>
          <w:lang w:val="en-GB" w:eastAsia="ro-MD"/>
        </w:rPr>
        <w:t>The expected loss amount for the guaranteed portion of the exposure value is zero</w:t>
      </w:r>
      <w:r w:rsidRPr="00301B0F">
        <w:rPr>
          <w:color w:val="000000" w:themeColor="text1"/>
          <w:lang w:val="en-GB" w:eastAsia="ro-MD"/>
        </w:rPr>
        <w:t>.</w:t>
      </w:r>
    </w:p>
    <w:p w14:paraId="5DD1A10C" w14:textId="78C86EF7" w:rsidR="009A79F2" w:rsidRPr="00301B0F" w:rsidRDefault="009A79F2" w:rsidP="00A22BC1">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5</w:t>
      </w:r>
      <w:r w:rsidRPr="00301B0F">
        <w:rPr>
          <w:b/>
          <w:bCs/>
          <w:color w:val="000000" w:themeColor="text1"/>
          <w:lang w:val="en-GB" w:eastAsia="ro-MD"/>
        </w:rPr>
        <w:t>.</w:t>
      </w:r>
      <w:r w:rsidRPr="00301B0F">
        <w:rPr>
          <w:color w:val="000000" w:themeColor="text1"/>
          <w:lang w:val="en-GB" w:eastAsia="ro-MD"/>
        </w:rPr>
        <w:t xml:space="preserve"> </w:t>
      </w:r>
      <w:r w:rsidR="00906674" w:rsidRPr="00301B0F">
        <w:rPr>
          <w:color w:val="000000" w:themeColor="text1"/>
          <w:lang w:val="en-GB" w:eastAsia="ro-MD"/>
        </w:rPr>
        <w:t>For any unsecured portion of the exposure value (E), banks use the risk weight and expected loss corresponding to the underlying exposure. For the calculation specified in the National Bank of Moldova’s normative act regarding the treatment of credit risk under the internal ratings</w:t>
      </w:r>
      <w:r w:rsidR="00D313EA">
        <w:rPr>
          <w:color w:val="000000" w:themeColor="text1"/>
          <w:lang w:val="en-GB" w:eastAsia="ro-MD"/>
        </w:rPr>
        <w:t xml:space="preserve"> </w:t>
      </w:r>
      <w:r w:rsidR="00906674" w:rsidRPr="00301B0F">
        <w:rPr>
          <w:color w:val="000000" w:themeColor="text1"/>
          <w:lang w:val="en-GB" w:eastAsia="ro-MD"/>
        </w:rPr>
        <w:t xml:space="preserve">based approach, banks shall apply to the unsecured portion of the exposure value any general or specific credit risk adjustment or any additional value adjustment in accordance with the Regulation on Own Funds of Banks and Capital Requirements, approved by Decision No 109/2018 of the Executive Board of the National Bank of Moldova (hereinafter “Regulation </w:t>
      </w:r>
      <w:r w:rsidR="00093C0C">
        <w:rPr>
          <w:color w:val="000000" w:themeColor="text1"/>
          <w:lang w:val="en-GB" w:eastAsia="ro-MD"/>
        </w:rPr>
        <w:t xml:space="preserve">No </w:t>
      </w:r>
      <w:r w:rsidR="00906674" w:rsidRPr="00301B0F">
        <w:rPr>
          <w:color w:val="000000" w:themeColor="text1"/>
          <w:lang w:val="en-GB" w:eastAsia="ro-MD"/>
        </w:rPr>
        <w:t>109/2018”) related to the bank’s non-trading book activities or any other reduction in own funds related to the exposure, other than deductions regarding the applicable amount of insufficient coverage for non-performing exposures made in accordance with Regulation No 109/2018</w:t>
      </w:r>
      <w:r w:rsidRPr="00301B0F">
        <w:rPr>
          <w:color w:val="000000" w:themeColor="text1"/>
          <w:lang w:val="en-GB" w:eastAsia="ro-MD"/>
        </w:rPr>
        <w:t>.</w:t>
      </w:r>
    </w:p>
    <w:p w14:paraId="2842CFEB" w14:textId="67EB54F0" w:rsidR="009A79F2" w:rsidRPr="00301B0F" w:rsidRDefault="009A79F2" w:rsidP="009A79F2">
      <w:pPr>
        <w:jc w:val="center"/>
        <w:rPr>
          <w:color w:val="000000" w:themeColor="text1"/>
          <w:lang w:val="en-GB" w:eastAsia="ro-MD"/>
        </w:rPr>
      </w:pPr>
      <w:r w:rsidRPr="00301B0F">
        <w:rPr>
          <w:b/>
          <w:bCs/>
          <w:i/>
          <w:iCs/>
          <w:color w:val="000000" w:themeColor="text1"/>
          <w:lang w:val="en-GB" w:eastAsia="ro-MD"/>
        </w:rPr>
        <w:t>Sec</w:t>
      </w:r>
      <w:r w:rsidR="00906674" w:rsidRPr="00301B0F">
        <w:rPr>
          <w:b/>
          <w:bCs/>
          <w:i/>
          <w:iCs/>
          <w:color w:val="000000" w:themeColor="text1"/>
          <w:lang w:val="en-GB" w:eastAsia="ro-MD"/>
        </w:rPr>
        <w:t>tion</w:t>
      </w:r>
      <w:r w:rsidRPr="00301B0F">
        <w:rPr>
          <w:b/>
          <w:bCs/>
          <w:i/>
          <w:iCs/>
          <w:color w:val="000000" w:themeColor="text1"/>
          <w:lang w:val="en-GB" w:eastAsia="ro-MD"/>
        </w:rPr>
        <w:t xml:space="preserve"> 2</w:t>
      </w:r>
      <w:r w:rsidRPr="00301B0F">
        <w:rPr>
          <w:b/>
          <w:bCs/>
          <w:i/>
          <w:iCs/>
          <w:color w:val="000000" w:themeColor="text1"/>
          <w:vertAlign w:val="superscript"/>
          <w:lang w:val="en-GB" w:eastAsia="ro-MD"/>
        </w:rPr>
        <w:t>2</w:t>
      </w:r>
    </w:p>
    <w:p w14:paraId="7A002F56" w14:textId="3353A63B" w:rsidR="009A79F2" w:rsidRPr="00301B0F" w:rsidRDefault="0080700B" w:rsidP="0080700B">
      <w:pPr>
        <w:ind w:firstLine="567"/>
        <w:jc w:val="center"/>
        <w:rPr>
          <w:b/>
          <w:bCs/>
          <w:i/>
          <w:iCs/>
          <w:color w:val="000000" w:themeColor="text1"/>
          <w:lang w:val="en-GB" w:eastAsia="ro-MD"/>
        </w:rPr>
      </w:pPr>
      <w:r w:rsidRPr="00301B0F">
        <w:rPr>
          <w:b/>
          <w:bCs/>
          <w:i/>
          <w:iCs/>
          <w:color w:val="000000" w:themeColor="text1"/>
          <w:lang w:val="en-GB" w:eastAsia="ro-MD"/>
        </w:rPr>
        <w:t>Calculating risk-weighted exposure amounts and expected loss amounts under the substitution approach where the guaranteed exposure is treated under the IRB Approach without the use of own estimates of LGD and a comparable direct exposure to the protection provider is treated under the IRB Approach</w:t>
      </w:r>
    </w:p>
    <w:p w14:paraId="7424E595" w14:textId="3E91041E" w:rsidR="009A79F2" w:rsidRPr="00301B0F" w:rsidRDefault="009A79F2" w:rsidP="00D87955">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6</w:t>
      </w:r>
      <w:r w:rsidRPr="00301B0F">
        <w:rPr>
          <w:b/>
          <w:bCs/>
          <w:color w:val="000000" w:themeColor="text1"/>
          <w:lang w:val="en-GB" w:eastAsia="ro-MD"/>
        </w:rPr>
        <w:t>.</w:t>
      </w:r>
      <w:r w:rsidRPr="00301B0F">
        <w:rPr>
          <w:color w:val="000000" w:themeColor="text1"/>
          <w:lang w:val="en-GB" w:eastAsia="ro-MD"/>
        </w:rPr>
        <w:t xml:space="preserve"> </w:t>
      </w:r>
      <w:r w:rsidR="0080700B" w:rsidRPr="00301B0F">
        <w:rPr>
          <w:color w:val="000000" w:themeColor="text1"/>
          <w:lang w:val="en-GB" w:eastAsia="ro-MD"/>
        </w:rPr>
        <w:t>For an exposure with unfunded credit protection for which a bank applies the IRB approach but does not use its own LGD estimates, and where comparable direct exposures to the protection provider are treated in accordance with the IRB approach set forth in the National Bank of Moldova’s normative act on credit risk treatment under the internal ratings</w:t>
      </w:r>
      <w:r w:rsidR="007A1F62">
        <w:rPr>
          <w:color w:val="000000" w:themeColor="text1"/>
          <w:lang w:val="en-GB" w:eastAsia="ro-MD"/>
        </w:rPr>
        <w:t xml:space="preserve"> </w:t>
      </w:r>
      <w:r w:rsidR="0080700B" w:rsidRPr="00301B0F">
        <w:rPr>
          <w:color w:val="000000" w:themeColor="text1"/>
          <w:lang w:val="en-GB" w:eastAsia="ro-MD"/>
        </w:rPr>
        <w:t xml:space="preserve">based approach, the bank shall determine the guaranteed portion of the exposure as the lesser of the exposure amount (E) and the adjusted value of the unfunded credit protection </w:t>
      </w:r>
      <w:r w:rsidRPr="00301B0F">
        <w:rPr>
          <w:color w:val="000000" w:themeColor="text1"/>
          <w:lang w:val="en-GB" w:eastAsia="ro-MD"/>
        </w:rPr>
        <w:t>(G</w:t>
      </w:r>
      <w:r w:rsidRPr="00301B0F">
        <w:rPr>
          <w:color w:val="000000" w:themeColor="text1"/>
          <w:vertAlign w:val="subscript"/>
          <w:lang w:val="en-GB" w:eastAsia="ro-MD"/>
        </w:rPr>
        <w:t>A</w:t>
      </w:r>
      <w:r w:rsidRPr="00301B0F">
        <w:rPr>
          <w:color w:val="000000" w:themeColor="text1"/>
          <w:lang w:val="en-GB" w:eastAsia="ro-MD"/>
        </w:rPr>
        <w:t>).</w:t>
      </w:r>
    </w:p>
    <w:p w14:paraId="46888256" w14:textId="628B3778" w:rsidR="009A79F2" w:rsidRPr="00301B0F" w:rsidRDefault="009A79F2" w:rsidP="009A79F2">
      <w:pPr>
        <w:jc w:val="both"/>
        <w:rPr>
          <w:color w:val="000000" w:themeColor="text1"/>
          <w:lang w:val="en-GB"/>
        </w:rPr>
      </w:pPr>
      <w:r w:rsidRPr="00301B0F">
        <w:rPr>
          <w:b/>
          <w:bCs/>
          <w:color w:val="000000" w:themeColor="text1"/>
          <w:lang w:val="en-GB" w:eastAsia="ro-MD"/>
        </w:rPr>
        <w:t>116</w:t>
      </w:r>
      <w:r w:rsidRPr="00301B0F">
        <w:rPr>
          <w:b/>
          <w:bCs/>
          <w:color w:val="000000" w:themeColor="text1"/>
          <w:vertAlign w:val="superscript"/>
          <w:lang w:val="en-GB" w:eastAsia="ro-MD"/>
        </w:rPr>
        <w:t>7</w:t>
      </w:r>
      <w:r w:rsidRPr="00301B0F">
        <w:rPr>
          <w:b/>
          <w:bCs/>
          <w:color w:val="000000" w:themeColor="text1"/>
          <w:lang w:val="en-GB" w:eastAsia="ro-MD"/>
        </w:rPr>
        <w:t>.</w:t>
      </w:r>
      <w:r w:rsidRPr="00301B0F">
        <w:rPr>
          <w:color w:val="000000" w:themeColor="text1"/>
          <w:lang w:val="en-GB" w:eastAsia="ro-MD"/>
        </w:rPr>
        <w:t xml:space="preserve"> </w:t>
      </w:r>
      <w:r w:rsidR="0080700B" w:rsidRPr="00301B0F">
        <w:rPr>
          <w:color w:val="000000" w:themeColor="text1"/>
          <w:lang w:val="en-GB" w:eastAsia="ro-MD"/>
        </w:rPr>
        <w:t xml:space="preserve">Banks that apply the IRB approach to direct exposures comparable to those to the protection provider, using their own PD estimates, shall calculate the risk-weighted exposure amount and the </w:t>
      </w:r>
      <w:r w:rsidR="0080700B" w:rsidRPr="00301B0F">
        <w:rPr>
          <w:color w:val="000000" w:themeColor="text1"/>
          <w:lang w:val="en-GB" w:eastAsia="ro-MD"/>
        </w:rPr>
        <w:lastRenderedPageBreak/>
        <w:t>expected loss amount for the covered part of the exposure value by using the protection provider’s PD and the LGD applicable to a direct exposure comparable to that to the protection provider, as specified in the normative act of the National Bank of Moldova regarding the treatment of credit risk under the internal ratings</w:t>
      </w:r>
      <w:r w:rsidR="00D313EA">
        <w:rPr>
          <w:color w:val="000000" w:themeColor="text1"/>
          <w:lang w:val="en-GB" w:eastAsia="ro-MD"/>
        </w:rPr>
        <w:t xml:space="preserve"> </w:t>
      </w:r>
      <w:r w:rsidR="0080700B" w:rsidRPr="00301B0F">
        <w:rPr>
          <w:color w:val="000000" w:themeColor="text1"/>
          <w:lang w:val="en-GB" w:eastAsia="ro-MD"/>
        </w:rPr>
        <w:t xml:space="preserve">based approach, in accordance with paragraph </w:t>
      </w:r>
      <w:r w:rsidRPr="00301B0F">
        <w:rPr>
          <w:color w:val="000000" w:themeColor="text1"/>
          <w:lang w:val="en-GB" w:eastAsia="ro-MD"/>
        </w:rPr>
        <w:t>116</w:t>
      </w:r>
      <w:r w:rsidRPr="00301B0F">
        <w:rPr>
          <w:color w:val="000000" w:themeColor="text1"/>
          <w:vertAlign w:val="superscript"/>
          <w:lang w:val="en-GB" w:eastAsia="ro-MD"/>
        </w:rPr>
        <w:t>8</w:t>
      </w:r>
      <w:r w:rsidRPr="00301B0F">
        <w:rPr>
          <w:color w:val="000000" w:themeColor="text1"/>
          <w:lang w:val="en-GB" w:eastAsia="ro-MD"/>
        </w:rPr>
        <w:t xml:space="preserve">. </w:t>
      </w:r>
      <w:r w:rsidR="0080700B" w:rsidRPr="00301B0F">
        <w:rPr>
          <w:color w:val="000000" w:themeColor="text1"/>
          <w:lang w:val="en-GB" w:eastAsia="ro-MD"/>
        </w:rPr>
        <w:t xml:space="preserve">For subordinated exposures </w:t>
      </w:r>
      <w:r w:rsidR="002243C7" w:rsidRPr="00301B0F">
        <w:rPr>
          <w:color w:val="000000" w:themeColor="text1"/>
          <w:lang w:val="en-GB" w:eastAsia="ro-MD"/>
        </w:rPr>
        <w:t xml:space="preserve">and </w:t>
      </w:r>
      <w:r w:rsidR="0080700B" w:rsidRPr="00301B0F">
        <w:rPr>
          <w:color w:val="000000" w:themeColor="text1"/>
          <w:lang w:val="en-GB" w:eastAsia="ro-MD"/>
        </w:rPr>
        <w:t xml:space="preserve">non-subordinated unfunded credit protection, the LGD that banks must apply to the covered part of the exposure value is the LGD associated with senior claims, and banks may </w:t>
      </w:r>
      <w:proofErr w:type="gramStart"/>
      <w:r w:rsidR="0080700B" w:rsidRPr="00301B0F">
        <w:rPr>
          <w:color w:val="000000" w:themeColor="text1"/>
          <w:lang w:val="en-GB" w:eastAsia="ro-MD"/>
        </w:rPr>
        <w:t>take into account</w:t>
      </w:r>
      <w:proofErr w:type="gramEnd"/>
      <w:r w:rsidR="0080700B" w:rsidRPr="00301B0F">
        <w:rPr>
          <w:color w:val="000000" w:themeColor="text1"/>
          <w:lang w:val="en-GB" w:eastAsia="ro-MD"/>
        </w:rPr>
        <w:t xml:space="preserve"> any funded credit protection securing the unfunded credit protection in accordance with this Chapter</w:t>
      </w:r>
      <w:r w:rsidRPr="00301B0F">
        <w:rPr>
          <w:color w:val="000000" w:themeColor="text1"/>
          <w:lang w:val="en-GB" w:eastAsia="ro-MD"/>
        </w:rPr>
        <w:t>.</w:t>
      </w:r>
    </w:p>
    <w:p w14:paraId="7DFCE4CC" w14:textId="3AC66DC1" w:rsidR="009A79F2" w:rsidRPr="00301B0F" w:rsidRDefault="009A79F2" w:rsidP="00D87955">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8</w:t>
      </w:r>
      <w:r w:rsidRPr="00301B0F">
        <w:rPr>
          <w:b/>
          <w:bCs/>
          <w:color w:val="000000" w:themeColor="text1"/>
          <w:lang w:val="en-GB" w:eastAsia="ro-MD"/>
        </w:rPr>
        <w:t>.</w:t>
      </w:r>
      <w:r w:rsidRPr="00301B0F">
        <w:rPr>
          <w:color w:val="000000" w:themeColor="text1"/>
          <w:lang w:val="en-GB" w:eastAsia="ro-MD"/>
        </w:rPr>
        <w:t xml:space="preserve"> </w:t>
      </w:r>
      <w:r w:rsidR="000E2E48" w:rsidRPr="00301B0F">
        <w:rPr>
          <w:color w:val="000000" w:themeColor="text1"/>
          <w:lang w:val="en-GB" w:eastAsia="ro-MD"/>
        </w:rPr>
        <w:t xml:space="preserve">Banks shall calculate the risk weight and expected loss applicable to the covered part of the underlying exposure using the PD and LGD specified in paragraph </w:t>
      </w:r>
      <w:r w:rsidRPr="00301B0F">
        <w:rPr>
          <w:color w:val="000000" w:themeColor="text1"/>
          <w:lang w:val="en-GB" w:eastAsia="ro-MD"/>
        </w:rPr>
        <w:t>116</w:t>
      </w:r>
      <w:r w:rsidRPr="00301B0F">
        <w:rPr>
          <w:color w:val="000000" w:themeColor="text1"/>
          <w:vertAlign w:val="superscript"/>
          <w:lang w:val="en-GB" w:eastAsia="ro-MD"/>
        </w:rPr>
        <w:t>7</w:t>
      </w:r>
      <w:r w:rsidRPr="00301B0F">
        <w:rPr>
          <w:color w:val="000000" w:themeColor="text1"/>
          <w:lang w:val="en-GB" w:eastAsia="ro-MD"/>
        </w:rPr>
        <w:t xml:space="preserve"> </w:t>
      </w:r>
      <w:r w:rsidR="000E2E48" w:rsidRPr="00301B0F">
        <w:rPr>
          <w:color w:val="000000" w:themeColor="text1"/>
          <w:lang w:val="en-GB" w:eastAsia="ro-MD"/>
        </w:rPr>
        <w:t>and the same risk weight function as the ones used for a comparable direct exposure to the protection provider and, where applicable, shall use the maturity (M) related to the underlying exposure, calculated in accordance with the normative act of the National Bank of Moldova regarding the treatment of credit risk under the internal ratings</w:t>
      </w:r>
      <w:r w:rsidR="00D313EA">
        <w:rPr>
          <w:color w:val="000000" w:themeColor="text1"/>
          <w:lang w:val="en-GB" w:eastAsia="ro-MD"/>
        </w:rPr>
        <w:t xml:space="preserve"> </w:t>
      </w:r>
      <w:r w:rsidR="000E2E48" w:rsidRPr="00301B0F">
        <w:rPr>
          <w:color w:val="000000" w:themeColor="text1"/>
          <w:lang w:val="en-GB" w:eastAsia="ro-MD"/>
        </w:rPr>
        <w:t>based approach</w:t>
      </w:r>
      <w:r w:rsidRPr="00301B0F">
        <w:rPr>
          <w:color w:val="000000" w:themeColor="text1"/>
          <w:lang w:val="en-GB" w:eastAsia="ro-MD"/>
        </w:rPr>
        <w:t>.</w:t>
      </w:r>
    </w:p>
    <w:p w14:paraId="69E251DB" w14:textId="2F256288" w:rsidR="009A79F2" w:rsidRPr="00301B0F" w:rsidRDefault="009A79F2" w:rsidP="00D87955">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9</w:t>
      </w:r>
      <w:r w:rsidRPr="00301B0F">
        <w:rPr>
          <w:b/>
          <w:bCs/>
          <w:color w:val="000000" w:themeColor="text1"/>
          <w:lang w:val="en-GB" w:eastAsia="ro-MD"/>
        </w:rPr>
        <w:t>.</w:t>
      </w:r>
      <w:r w:rsidRPr="00301B0F">
        <w:rPr>
          <w:color w:val="000000" w:themeColor="text1"/>
          <w:lang w:val="en-GB" w:eastAsia="ro-MD"/>
        </w:rPr>
        <w:t xml:space="preserve"> </w:t>
      </w:r>
      <w:r w:rsidR="000E2E48" w:rsidRPr="00301B0F">
        <w:rPr>
          <w:color w:val="000000" w:themeColor="text1"/>
          <w:lang w:val="en-GB" w:eastAsia="ro-MD"/>
        </w:rPr>
        <w:t>Banks that apply the IRB approach to comparable direct exposures to the protection provider, using the method for determining the risk-weighted value of exposures arising from specialised financing set forth in the National Bank of Moldova’s normative act on credit risk treatment under the internal ratings</w:t>
      </w:r>
      <w:r w:rsidR="007A1F62">
        <w:rPr>
          <w:color w:val="000000" w:themeColor="text1"/>
          <w:lang w:val="en-GB" w:eastAsia="ro-MD"/>
        </w:rPr>
        <w:t xml:space="preserve"> </w:t>
      </w:r>
      <w:r w:rsidR="000E2E48" w:rsidRPr="00301B0F">
        <w:rPr>
          <w:color w:val="000000" w:themeColor="text1"/>
          <w:lang w:val="en-GB" w:eastAsia="ro-MD"/>
        </w:rPr>
        <w:t>based approach, shall apply the risk weight and expected loss applicable to the covered part of the exposure that correspond to specialised financing exposures as set forth in the aforementioned normative act</w:t>
      </w:r>
      <w:r w:rsidRPr="00301B0F">
        <w:rPr>
          <w:color w:val="000000" w:themeColor="text1"/>
          <w:lang w:val="en-GB" w:eastAsia="ro-MD"/>
        </w:rPr>
        <w:t>.</w:t>
      </w:r>
    </w:p>
    <w:p w14:paraId="2A6B2031" w14:textId="1F8D8FD9" w:rsidR="009A79F2" w:rsidRPr="00301B0F" w:rsidRDefault="009A79F2" w:rsidP="00D87955">
      <w:pPr>
        <w:jc w:val="both"/>
        <w:rPr>
          <w:color w:val="000000" w:themeColor="text1"/>
          <w:lang w:val="en-GB" w:eastAsia="ro-MD"/>
        </w:rPr>
      </w:pPr>
      <w:r w:rsidRPr="00FA7802">
        <w:rPr>
          <w:b/>
          <w:bCs/>
          <w:color w:val="000000" w:themeColor="text1"/>
          <w:lang w:val="en-GB" w:eastAsia="ro-MD"/>
        </w:rPr>
        <w:t>116</w:t>
      </w:r>
      <w:r w:rsidRPr="00FA7802">
        <w:rPr>
          <w:b/>
          <w:bCs/>
          <w:color w:val="000000" w:themeColor="text1"/>
          <w:vertAlign w:val="superscript"/>
          <w:lang w:val="en-GB" w:eastAsia="ro-MD"/>
        </w:rPr>
        <w:t>10</w:t>
      </w:r>
      <w:r w:rsidRPr="00FA7802">
        <w:rPr>
          <w:b/>
          <w:bCs/>
          <w:color w:val="000000" w:themeColor="text1"/>
          <w:lang w:val="en-GB" w:eastAsia="ro-MD"/>
        </w:rPr>
        <w:t>.</w:t>
      </w:r>
      <w:r w:rsidRPr="00FA7802">
        <w:rPr>
          <w:color w:val="000000" w:themeColor="text1"/>
          <w:lang w:val="en-GB" w:eastAsia="ro-MD"/>
        </w:rPr>
        <w:t xml:space="preserve"> </w:t>
      </w:r>
      <w:r w:rsidR="000E2E48" w:rsidRPr="00FA7802">
        <w:rPr>
          <w:color w:val="000000" w:themeColor="text1"/>
          <w:lang w:val="en-GB" w:eastAsia="ro-MD"/>
        </w:rPr>
        <w:t xml:space="preserve">Notwithstanding paragraph </w:t>
      </w:r>
      <w:r w:rsidRPr="00FA7802">
        <w:rPr>
          <w:color w:val="000000" w:themeColor="text1"/>
          <w:lang w:val="en-GB" w:eastAsia="ro-MD"/>
        </w:rPr>
        <w:t>116</w:t>
      </w:r>
      <w:r w:rsidRPr="00FA7802">
        <w:rPr>
          <w:color w:val="000000" w:themeColor="text1"/>
          <w:vertAlign w:val="superscript"/>
          <w:lang w:val="en-GB" w:eastAsia="ro-MD"/>
        </w:rPr>
        <w:t>9</w:t>
      </w:r>
      <w:r w:rsidRPr="00FA7802">
        <w:rPr>
          <w:color w:val="000000" w:themeColor="text1"/>
          <w:lang w:val="en-GB" w:eastAsia="ro-MD"/>
        </w:rPr>
        <w:t xml:space="preserve">, </w:t>
      </w:r>
      <w:r w:rsidR="002243C7" w:rsidRPr="00FA7802">
        <w:rPr>
          <w:color w:val="000000" w:themeColor="text1"/>
          <w:lang w:val="en-GB" w:eastAsia="ro-MD"/>
        </w:rPr>
        <w:t>banks that apply the IRB approach to guaranteed exposures using the method for determining the risk-weighted value of exposures arising from specialised financing, as set forth in the normative act of the National Bank of Moldova regarding the treatment of credit risk under the internal ratings</w:t>
      </w:r>
      <w:r w:rsidR="00D313EA">
        <w:rPr>
          <w:color w:val="000000" w:themeColor="text1"/>
          <w:lang w:val="en-GB" w:eastAsia="ro-MD"/>
        </w:rPr>
        <w:t xml:space="preserve"> </w:t>
      </w:r>
      <w:r w:rsidR="002243C7" w:rsidRPr="00FA7802">
        <w:rPr>
          <w:color w:val="000000" w:themeColor="text1"/>
          <w:lang w:val="en-GB" w:eastAsia="ro-MD"/>
        </w:rPr>
        <w:t>based approach, shall calculate the risk weight and expected loss applicable to the covered part of the exposure using the PD and LGD applicable to a comparable direct exposure to the protection provider, as specified in the National Bank of Moldova’s normative act on credit risk treatment under the internal ratings</w:t>
      </w:r>
      <w:r w:rsidR="007A1F62">
        <w:rPr>
          <w:color w:val="000000" w:themeColor="text1"/>
          <w:lang w:val="en-GB" w:eastAsia="ro-MD"/>
        </w:rPr>
        <w:t xml:space="preserve"> </w:t>
      </w:r>
      <w:r w:rsidR="002243C7" w:rsidRPr="00FA7802">
        <w:rPr>
          <w:color w:val="000000" w:themeColor="text1"/>
          <w:lang w:val="en-GB" w:eastAsia="ro-MD"/>
        </w:rPr>
        <w:t xml:space="preserve">based approach, in accordance with paragraph </w:t>
      </w:r>
      <w:r w:rsidRPr="00FA7802">
        <w:rPr>
          <w:color w:val="000000" w:themeColor="text1"/>
          <w:lang w:val="en-GB" w:eastAsia="ro-MD"/>
        </w:rPr>
        <w:t>116</w:t>
      </w:r>
      <w:r w:rsidRPr="00FA7802">
        <w:rPr>
          <w:color w:val="000000" w:themeColor="text1"/>
          <w:vertAlign w:val="superscript"/>
          <w:lang w:val="en-GB" w:eastAsia="ro-MD"/>
        </w:rPr>
        <w:t>8</w:t>
      </w:r>
      <w:r w:rsidRPr="00FA7802">
        <w:rPr>
          <w:color w:val="000000" w:themeColor="text1"/>
          <w:lang w:val="en-GB" w:eastAsia="ro-MD"/>
        </w:rPr>
        <w:t xml:space="preserve">, </w:t>
      </w:r>
      <w:r w:rsidR="002243C7" w:rsidRPr="00FA7802">
        <w:rPr>
          <w:color w:val="000000" w:themeColor="text1"/>
          <w:lang w:val="en-GB" w:eastAsia="ro-MD"/>
        </w:rPr>
        <w:t>and the same risk weighting function as those used for a comparable direct exposure to the protection provider and, where applicable, uses the maturity (M) related to the underlying exposure, calculated in accordance with</w:t>
      </w:r>
      <w:r w:rsidR="00FA7802" w:rsidRPr="00FA7802">
        <w:rPr>
          <w:color w:val="000000" w:themeColor="text1"/>
          <w:lang w:val="en-GB" w:eastAsia="ro-MD"/>
        </w:rPr>
        <w:t xml:space="preserve"> the normative act of the National Bank of Moldova regarding the treatment of credit risk under the internal ratings</w:t>
      </w:r>
      <w:r w:rsidR="00D313EA">
        <w:rPr>
          <w:color w:val="000000" w:themeColor="text1"/>
          <w:lang w:val="en-GB" w:eastAsia="ro-MD"/>
        </w:rPr>
        <w:t xml:space="preserve"> </w:t>
      </w:r>
      <w:r w:rsidR="00FA7802" w:rsidRPr="00FA7802">
        <w:rPr>
          <w:color w:val="000000" w:themeColor="text1"/>
          <w:lang w:val="en-GB" w:eastAsia="ro-MD"/>
        </w:rPr>
        <w:t>based approach</w:t>
      </w:r>
      <w:r w:rsidR="002243C7" w:rsidRPr="00FA7802">
        <w:rPr>
          <w:color w:val="000000" w:themeColor="text1"/>
          <w:lang w:val="en-GB" w:eastAsia="ro-MD"/>
        </w:rPr>
        <w:t>.</w:t>
      </w:r>
      <w:r w:rsidR="002243C7" w:rsidRPr="00301B0F">
        <w:rPr>
          <w:color w:val="000000" w:themeColor="text1"/>
          <w:lang w:val="en-GB" w:eastAsia="ro-MD"/>
        </w:rPr>
        <w:t xml:space="preserve"> For subordinated exposures and non-subordinated unfunded credit protection, the LGD that banks must apply to the covered part of the exposure value is the LGD associated with senior claims, and banks may </w:t>
      </w:r>
      <w:proofErr w:type="gramStart"/>
      <w:r w:rsidR="002243C7" w:rsidRPr="00301B0F">
        <w:rPr>
          <w:color w:val="000000" w:themeColor="text1"/>
          <w:lang w:val="en-GB" w:eastAsia="ro-MD"/>
        </w:rPr>
        <w:t>take into account</w:t>
      </w:r>
      <w:proofErr w:type="gramEnd"/>
      <w:r w:rsidR="002243C7" w:rsidRPr="00301B0F">
        <w:rPr>
          <w:color w:val="000000" w:themeColor="text1"/>
          <w:lang w:val="en-GB" w:eastAsia="ro-MD"/>
        </w:rPr>
        <w:t xml:space="preserve"> any funded credit protection securing the unfunded credit protection in accordance with this Regulation</w:t>
      </w:r>
      <w:r w:rsidRPr="00301B0F">
        <w:rPr>
          <w:color w:val="000000" w:themeColor="text1"/>
          <w:lang w:val="en-GB" w:eastAsia="ro-MD"/>
        </w:rPr>
        <w:t>.</w:t>
      </w:r>
    </w:p>
    <w:p w14:paraId="6ABEC546" w14:textId="1352B64A" w:rsidR="009A79F2" w:rsidRPr="00301B0F" w:rsidRDefault="009A79F2" w:rsidP="00D87955">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11</w:t>
      </w:r>
      <w:r w:rsidRPr="00301B0F">
        <w:rPr>
          <w:b/>
          <w:bCs/>
          <w:color w:val="000000" w:themeColor="text1"/>
          <w:lang w:val="en-GB" w:eastAsia="ro-MD"/>
        </w:rPr>
        <w:t>.</w:t>
      </w:r>
      <w:r w:rsidRPr="00301B0F">
        <w:rPr>
          <w:color w:val="000000" w:themeColor="text1"/>
          <w:lang w:val="en-GB" w:eastAsia="ro-MD"/>
        </w:rPr>
        <w:t xml:space="preserve"> </w:t>
      </w:r>
      <w:r w:rsidR="002243C7" w:rsidRPr="00301B0F">
        <w:rPr>
          <w:color w:val="000000" w:themeColor="text1"/>
          <w:lang w:val="en-GB" w:eastAsia="ro-MD"/>
        </w:rPr>
        <w:t>For any uncovered part of the exposure value (E), banks use the risk weight and expected loss corresponding to the underlying exposure. To calculate the expected loss amounts, the IRB shortfall, and the IRB surplus as provided for in the normative act of the National Bank of Moldova regarding the treatment of credit risk under the internal ratings</w:t>
      </w:r>
      <w:r w:rsidR="00D313EA">
        <w:rPr>
          <w:color w:val="000000" w:themeColor="text1"/>
          <w:lang w:val="en-GB" w:eastAsia="ro-MD"/>
        </w:rPr>
        <w:t xml:space="preserve"> </w:t>
      </w:r>
      <w:r w:rsidR="002243C7" w:rsidRPr="00301B0F">
        <w:rPr>
          <w:color w:val="000000" w:themeColor="text1"/>
          <w:lang w:val="en-GB" w:eastAsia="ro-MD"/>
        </w:rPr>
        <w:t>based approach, banks shall apply to the uncovered part of the exposure value any general or specific credit risk adjustment or any additional value adjustment in accordance with Regulation No 109/2018 related to the bank’s non-trading book business or any other reduction in own funds related to the exposure, other than deductions regarding the applicable amount of insufficient coverage for non-performing exposures made in accordance with Regulation No 109/2018</w:t>
      </w:r>
      <w:r w:rsidRPr="00301B0F">
        <w:rPr>
          <w:color w:val="000000" w:themeColor="text1"/>
          <w:lang w:val="en-GB" w:eastAsia="ro-MD"/>
        </w:rPr>
        <w:t>.</w:t>
      </w:r>
    </w:p>
    <w:p w14:paraId="33A30797" w14:textId="2BAADA92" w:rsidR="009A79F2" w:rsidRPr="00301B0F" w:rsidRDefault="009A79F2" w:rsidP="00D87955">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12</w:t>
      </w:r>
      <w:r w:rsidRPr="00301B0F">
        <w:rPr>
          <w:b/>
          <w:bCs/>
          <w:color w:val="000000" w:themeColor="text1"/>
          <w:lang w:val="en-GB" w:eastAsia="ro-MD"/>
        </w:rPr>
        <w:t>.</w:t>
      </w:r>
      <w:r w:rsidRPr="00301B0F">
        <w:rPr>
          <w:color w:val="000000" w:themeColor="text1"/>
          <w:lang w:val="en-GB" w:eastAsia="ro-MD"/>
        </w:rPr>
        <w:t xml:space="preserve"> </w:t>
      </w:r>
      <w:r w:rsidR="002243C7" w:rsidRPr="00301B0F">
        <w:rPr>
          <w:color w:val="000000" w:themeColor="text1"/>
          <w:lang w:val="en-GB" w:eastAsia="ro-MD"/>
        </w:rPr>
        <w:t>For the purposes of this section</w:t>
      </w:r>
      <w:r w:rsidRPr="00301B0F">
        <w:rPr>
          <w:color w:val="000000" w:themeColor="text1"/>
          <w:lang w:val="en-GB" w:eastAsia="ro-MD"/>
        </w:rPr>
        <w:t>, (G</w:t>
      </w:r>
      <w:r w:rsidRPr="00301B0F">
        <w:rPr>
          <w:color w:val="000000" w:themeColor="text1"/>
          <w:vertAlign w:val="subscript"/>
          <w:lang w:val="en-GB" w:eastAsia="ro-MD"/>
        </w:rPr>
        <w:t>A</w:t>
      </w:r>
      <w:r w:rsidRPr="00301B0F">
        <w:rPr>
          <w:color w:val="000000" w:themeColor="text1"/>
          <w:lang w:val="en-GB" w:eastAsia="ro-MD"/>
        </w:rPr>
        <w:t xml:space="preserve">) </w:t>
      </w:r>
      <w:r w:rsidR="002243C7" w:rsidRPr="00301B0F">
        <w:rPr>
          <w:color w:val="000000" w:themeColor="text1"/>
          <w:lang w:val="en-GB" w:eastAsia="ro-MD"/>
        </w:rPr>
        <w:t>is the amount of credit protection adjusted for foreign exchange risk (G*) as calculated in accordance with paragraph 12 and further adjusted for any maturity mismatch as provided for in Title V, “Maturity Mismatch.” The exposure value (E) is the exposure value determined in accordance with the normative act of the National Bank of Moldova regarding the treatment of credit risk under the internal ratings</w:t>
      </w:r>
      <w:r w:rsidR="007A1F62">
        <w:rPr>
          <w:color w:val="000000" w:themeColor="text1"/>
          <w:lang w:val="en-GB" w:eastAsia="ro-MD"/>
        </w:rPr>
        <w:t xml:space="preserve"> </w:t>
      </w:r>
      <w:r w:rsidR="002243C7" w:rsidRPr="00301B0F">
        <w:rPr>
          <w:color w:val="000000" w:themeColor="text1"/>
          <w:lang w:val="en-GB" w:eastAsia="ro-MD"/>
        </w:rPr>
        <w:t xml:space="preserve">based (IRB) approach. Banks shall calculate the exposure value for off-balance-sheet items, other than derivative financial instruments </w:t>
      </w:r>
      <w:r w:rsidR="002243C7" w:rsidRPr="00301B0F">
        <w:rPr>
          <w:color w:val="000000" w:themeColor="text1"/>
          <w:lang w:val="en-GB" w:eastAsia="ro-MD"/>
        </w:rPr>
        <w:lastRenderedPageBreak/>
        <w:t>treated under the IRB approach, using a CCF of 100% instead of the CCF based on the standardised approach or the CCF based on the IRB approach set forth in the normative act of the National Bank of Moldova regarding the treatment of credit risk under the internal ratings</w:t>
      </w:r>
      <w:r w:rsidR="00D313EA">
        <w:rPr>
          <w:color w:val="000000" w:themeColor="text1"/>
          <w:lang w:val="en-GB" w:eastAsia="ro-MD"/>
        </w:rPr>
        <w:t xml:space="preserve"> </w:t>
      </w:r>
      <w:r w:rsidR="002243C7" w:rsidRPr="00301B0F">
        <w:rPr>
          <w:color w:val="000000" w:themeColor="text1"/>
          <w:lang w:val="en-GB" w:eastAsia="ro-MD"/>
        </w:rPr>
        <w:t>based approach</w:t>
      </w:r>
      <w:r w:rsidRPr="00301B0F">
        <w:rPr>
          <w:color w:val="000000" w:themeColor="text1"/>
          <w:lang w:val="en-GB" w:eastAsia="ro-MD"/>
        </w:rPr>
        <w:t>.</w:t>
      </w:r>
    </w:p>
    <w:p w14:paraId="1066FAAF" w14:textId="60897DA1" w:rsidR="009A79F2" w:rsidRPr="00301B0F" w:rsidRDefault="009A79F2" w:rsidP="009A79F2">
      <w:pPr>
        <w:jc w:val="center"/>
        <w:rPr>
          <w:color w:val="000000" w:themeColor="text1"/>
          <w:lang w:val="en-GB" w:eastAsia="ro-MD"/>
        </w:rPr>
      </w:pPr>
      <w:r w:rsidRPr="00301B0F">
        <w:rPr>
          <w:b/>
          <w:bCs/>
          <w:i/>
          <w:iCs/>
          <w:color w:val="000000" w:themeColor="text1"/>
          <w:lang w:val="en-GB" w:eastAsia="ro-MD"/>
        </w:rPr>
        <w:t>Sec</w:t>
      </w:r>
      <w:r w:rsidR="002243C7" w:rsidRPr="00301B0F">
        <w:rPr>
          <w:b/>
          <w:bCs/>
          <w:i/>
          <w:iCs/>
          <w:color w:val="000000" w:themeColor="text1"/>
          <w:lang w:val="en-GB" w:eastAsia="ro-MD"/>
        </w:rPr>
        <w:t>tion</w:t>
      </w:r>
      <w:r w:rsidRPr="00301B0F">
        <w:rPr>
          <w:b/>
          <w:bCs/>
          <w:i/>
          <w:iCs/>
          <w:color w:val="000000" w:themeColor="text1"/>
          <w:lang w:val="en-GB" w:eastAsia="ro-MD"/>
        </w:rPr>
        <w:t xml:space="preserve"> 2</w:t>
      </w:r>
      <w:r w:rsidRPr="00301B0F">
        <w:rPr>
          <w:b/>
          <w:bCs/>
          <w:i/>
          <w:iCs/>
          <w:color w:val="000000" w:themeColor="text1"/>
          <w:vertAlign w:val="superscript"/>
          <w:lang w:val="en-GB" w:eastAsia="ro-MD"/>
        </w:rPr>
        <w:t>3</w:t>
      </w:r>
    </w:p>
    <w:p w14:paraId="2D4BA1B5" w14:textId="48CA8ABF" w:rsidR="009A79F2" w:rsidRPr="00301B0F" w:rsidRDefault="002243C7" w:rsidP="002243C7">
      <w:pPr>
        <w:ind w:firstLine="567"/>
        <w:jc w:val="center"/>
        <w:rPr>
          <w:color w:val="000000" w:themeColor="text1"/>
          <w:lang w:val="en-GB" w:eastAsia="ro-MD"/>
        </w:rPr>
      </w:pPr>
      <w:r w:rsidRPr="00301B0F">
        <w:rPr>
          <w:b/>
          <w:bCs/>
          <w:i/>
          <w:iCs/>
          <w:color w:val="000000" w:themeColor="text1"/>
          <w:lang w:val="en-GB" w:eastAsia="ro-MD"/>
        </w:rPr>
        <w:t>Calculating risk-weighted exposure amounts and expected loss amounts under the substitution approach where the guaranteed exposure is treated under the IRB Approach using own estimates of LGD and a comparable direct exposure to the protection provider is treated under the IRB Approach</w:t>
      </w:r>
    </w:p>
    <w:p w14:paraId="49875A45" w14:textId="4798C134" w:rsidR="009A79F2" w:rsidRPr="00301B0F" w:rsidRDefault="009A79F2" w:rsidP="00D87955">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13</w:t>
      </w:r>
      <w:r w:rsidRPr="00301B0F">
        <w:rPr>
          <w:b/>
          <w:bCs/>
          <w:color w:val="000000" w:themeColor="text1"/>
          <w:lang w:val="en-GB" w:eastAsia="ro-MD"/>
        </w:rPr>
        <w:t>.</w:t>
      </w:r>
      <w:r w:rsidRPr="00301B0F">
        <w:rPr>
          <w:color w:val="000000" w:themeColor="text1"/>
          <w:lang w:val="en-GB" w:eastAsia="ro-MD"/>
        </w:rPr>
        <w:t xml:space="preserve"> </w:t>
      </w:r>
      <w:r w:rsidR="0058518C" w:rsidRPr="00301B0F">
        <w:rPr>
          <w:color w:val="000000" w:themeColor="text1"/>
          <w:lang w:val="en-GB" w:eastAsia="ro-MD"/>
        </w:rPr>
        <w:t xml:space="preserve">For an exposure with unfunded credit protection for which a bank applies the IRB Approach using its own LGD estimates, and where comparable direct exposures to the protection provider are treated in accordance with the IRB Approach, but without using its own LGD estimates, the bank shall determine the covered part of the exposure as the lower of the exposure value (E) and the adjusted value of the unfunded credit protection </w:t>
      </w:r>
      <w:r w:rsidRPr="00301B0F">
        <w:rPr>
          <w:color w:val="000000" w:themeColor="text1"/>
          <w:lang w:val="en-GB" w:eastAsia="ro-MD"/>
        </w:rPr>
        <w:t>(G</w:t>
      </w:r>
      <w:r w:rsidRPr="00301B0F">
        <w:rPr>
          <w:color w:val="000000" w:themeColor="text1"/>
          <w:vertAlign w:val="subscript"/>
          <w:lang w:val="en-GB" w:eastAsia="ro-MD"/>
        </w:rPr>
        <w:t>A</w:t>
      </w:r>
      <w:r w:rsidRPr="00301B0F">
        <w:rPr>
          <w:color w:val="000000" w:themeColor="text1"/>
          <w:lang w:val="en-GB" w:eastAsia="ro-MD"/>
        </w:rPr>
        <w:t xml:space="preserve">), </w:t>
      </w:r>
      <w:r w:rsidR="0058518C" w:rsidRPr="00301B0F">
        <w:rPr>
          <w:color w:val="000000" w:themeColor="text1"/>
          <w:lang w:val="en-GB" w:eastAsia="ro-MD"/>
        </w:rPr>
        <w:t xml:space="preserve">calculated in accordance with paragraph </w:t>
      </w:r>
      <w:r w:rsidRPr="00301B0F">
        <w:rPr>
          <w:color w:val="000000" w:themeColor="text1"/>
          <w:lang w:val="en-GB" w:eastAsia="ro-MD"/>
        </w:rPr>
        <w:t>116</w:t>
      </w:r>
      <w:r w:rsidRPr="00301B0F">
        <w:rPr>
          <w:color w:val="000000" w:themeColor="text1"/>
          <w:vertAlign w:val="superscript"/>
          <w:lang w:val="en-GB" w:eastAsia="ro-MD"/>
        </w:rPr>
        <w:t>1</w:t>
      </w:r>
      <w:r w:rsidRPr="00301B0F">
        <w:rPr>
          <w:color w:val="000000" w:themeColor="text1"/>
          <w:lang w:val="en-GB" w:eastAsia="ro-MD"/>
        </w:rPr>
        <w:t xml:space="preserve">. </w:t>
      </w:r>
      <w:r w:rsidR="0058518C" w:rsidRPr="00301B0F">
        <w:rPr>
          <w:color w:val="000000" w:themeColor="text1"/>
          <w:lang w:val="en-GB" w:eastAsia="ro-MD"/>
        </w:rPr>
        <w:t>The bank shall calculate the risk-weighted exposure amount and the expected loss amount for the covered part of the exposure value using PD, LGD, and the same risk weight function as those used for a comparable direct exposure to the protection provider, and shall use, where applicable, the maturity (M) associated with the underlying exposure</w:t>
      </w:r>
      <w:r w:rsidRPr="00301B0F">
        <w:rPr>
          <w:color w:val="000000" w:themeColor="text1"/>
          <w:lang w:val="en-GB" w:eastAsia="ro-MD"/>
        </w:rPr>
        <w:t>.</w:t>
      </w:r>
    </w:p>
    <w:p w14:paraId="689EE7C6" w14:textId="33BCE2F7" w:rsidR="009A79F2" w:rsidRPr="00301B0F" w:rsidRDefault="009A79F2" w:rsidP="00D87955">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14</w:t>
      </w:r>
      <w:r w:rsidRPr="00301B0F">
        <w:rPr>
          <w:b/>
          <w:bCs/>
          <w:color w:val="000000" w:themeColor="text1"/>
          <w:lang w:val="en-GB" w:eastAsia="ro-MD"/>
        </w:rPr>
        <w:t>.</w:t>
      </w:r>
      <w:r w:rsidRPr="00301B0F">
        <w:rPr>
          <w:color w:val="000000" w:themeColor="text1"/>
          <w:lang w:val="en-GB" w:eastAsia="ro-MD"/>
        </w:rPr>
        <w:t xml:space="preserve"> </w:t>
      </w:r>
      <w:r w:rsidR="0058518C" w:rsidRPr="00301B0F">
        <w:rPr>
          <w:color w:val="000000" w:themeColor="text1"/>
          <w:lang w:val="en-GB" w:eastAsia="ro-MD"/>
        </w:rPr>
        <w:t xml:space="preserve">Banks that apply the IRB approach but without using their own LGD estimates to comparable direct exposures to the protection provider shall determine the LGD in accordance with the National Bank of Moldova’s normative act on the treatment of credit risk under the internal </w:t>
      </w:r>
      <w:proofErr w:type="gramStart"/>
      <w:r w:rsidR="0058518C" w:rsidRPr="00301B0F">
        <w:rPr>
          <w:color w:val="000000" w:themeColor="text1"/>
          <w:lang w:val="en-GB" w:eastAsia="ro-MD"/>
        </w:rPr>
        <w:t>ratings</w:t>
      </w:r>
      <w:r w:rsidR="00D313EA">
        <w:rPr>
          <w:color w:val="000000" w:themeColor="text1"/>
          <w:lang w:val="en-GB" w:eastAsia="ro-MD"/>
        </w:rPr>
        <w:t xml:space="preserve"> </w:t>
      </w:r>
      <w:r w:rsidR="0058518C" w:rsidRPr="00301B0F">
        <w:rPr>
          <w:color w:val="000000" w:themeColor="text1"/>
          <w:lang w:val="en-GB" w:eastAsia="ro-MD"/>
        </w:rPr>
        <w:t>based</w:t>
      </w:r>
      <w:proofErr w:type="gramEnd"/>
      <w:r w:rsidR="0058518C" w:rsidRPr="00301B0F">
        <w:rPr>
          <w:color w:val="000000" w:themeColor="text1"/>
          <w:lang w:val="en-GB" w:eastAsia="ro-MD"/>
        </w:rPr>
        <w:t xml:space="preserve"> approach. For subordinated exposures </w:t>
      </w:r>
      <w:r w:rsidR="00D313EA" w:rsidRPr="00301B0F">
        <w:rPr>
          <w:color w:val="000000" w:themeColor="text1"/>
          <w:lang w:val="en-GB" w:eastAsia="ro-MD"/>
        </w:rPr>
        <w:t>and non</w:t>
      </w:r>
      <w:r w:rsidR="0058518C" w:rsidRPr="00301B0F">
        <w:rPr>
          <w:color w:val="000000" w:themeColor="text1"/>
          <w:lang w:val="en-GB" w:eastAsia="ro-MD"/>
        </w:rPr>
        <w:t>-subordinated unfunded credit protection, the LGD that banks must apply to the covered part of the exposure value shall be the LGD associated with senior claims, and banks may account for any funded credit protection securing the unfunded credit protection in accordance with this Regulation</w:t>
      </w:r>
      <w:r w:rsidRPr="00301B0F">
        <w:rPr>
          <w:color w:val="000000" w:themeColor="text1"/>
          <w:lang w:val="en-GB" w:eastAsia="ro-MD"/>
        </w:rPr>
        <w:t>.</w:t>
      </w:r>
    </w:p>
    <w:p w14:paraId="332E878C" w14:textId="13664B84" w:rsidR="009A79F2" w:rsidRPr="00301B0F" w:rsidRDefault="009A79F2" w:rsidP="00D87955">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15</w:t>
      </w:r>
      <w:r w:rsidRPr="00301B0F">
        <w:rPr>
          <w:b/>
          <w:bCs/>
          <w:color w:val="000000" w:themeColor="text1"/>
          <w:lang w:val="en-GB" w:eastAsia="ro-MD"/>
        </w:rPr>
        <w:t>.</w:t>
      </w:r>
      <w:r w:rsidRPr="00301B0F">
        <w:rPr>
          <w:color w:val="000000" w:themeColor="text1"/>
          <w:lang w:val="en-GB" w:eastAsia="ro-MD"/>
        </w:rPr>
        <w:t xml:space="preserve"> </w:t>
      </w:r>
      <w:r w:rsidR="0058518C" w:rsidRPr="00301B0F">
        <w:rPr>
          <w:color w:val="000000" w:themeColor="text1"/>
          <w:lang w:val="en-GB" w:eastAsia="ro-MD"/>
        </w:rPr>
        <w:t>Banks that apply the IRB approach, using their own estimates of LGD, to comparable direct exposures to the protection provider shall calculate the risk weight and expected loss applicable to the covered part of the underlying exposure using PD, LGD, and the same risk weight function as those used for a comparable direct exposure to the protection provider and shall use, where applicable, the maturity (M) related to the underlying exposure, calculated in accordance with the normative act of the National Bank of Moldova regarding the treatment of credit risk under the internal ratings</w:t>
      </w:r>
      <w:r w:rsidR="00D313EA">
        <w:rPr>
          <w:color w:val="000000" w:themeColor="text1"/>
          <w:lang w:val="en-GB" w:eastAsia="ro-MD"/>
        </w:rPr>
        <w:t xml:space="preserve"> </w:t>
      </w:r>
      <w:r w:rsidR="0058518C" w:rsidRPr="00301B0F">
        <w:rPr>
          <w:color w:val="000000" w:themeColor="text1"/>
          <w:lang w:val="en-GB" w:eastAsia="ro-MD"/>
        </w:rPr>
        <w:t>based approach</w:t>
      </w:r>
      <w:r w:rsidRPr="00301B0F">
        <w:rPr>
          <w:color w:val="000000" w:themeColor="text1"/>
          <w:lang w:val="en-GB" w:eastAsia="ro-MD"/>
        </w:rPr>
        <w:t>.</w:t>
      </w:r>
    </w:p>
    <w:p w14:paraId="1B12DFED" w14:textId="2CC7D038" w:rsidR="009A79F2" w:rsidRPr="00301B0F" w:rsidRDefault="009A79F2" w:rsidP="00D87955">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16</w:t>
      </w:r>
      <w:r w:rsidRPr="00301B0F">
        <w:rPr>
          <w:b/>
          <w:bCs/>
          <w:color w:val="000000" w:themeColor="text1"/>
          <w:lang w:val="en-GB" w:eastAsia="ro-MD"/>
        </w:rPr>
        <w:t>.</w:t>
      </w:r>
      <w:r w:rsidRPr="00301B0F">
        <w:rPr>
          <w:color w:val="000000" w:themeColor="text1"/>
          <w:lang w:val="en-GB" w:eastAsia="ro-MD"/>
        </w:rPr>
        <w:t xml:space="preserve"> </w:t>
      </w:r>
      <w:r w:rsidR="00917BA3" w:rsidRPr="00301B0F">
        <w:rPr>
          <w:color w:val="000000" w:themeColor="text1"/>
          <w:lang w:val="en-GB" w:eastAsia="ro-MD"/>
        </w:rPr>
        <w:t>Banks that apply the IRB approach to comparable direct exposures to the protection provider, using the method for determining risk-weighted exposure amounts for exposures arising from specialised financing set forth in the National Bank of Moldova’s normative act on credit risk treatment under the internal ratings</w:t>
      </w:r>
      <w:r w:rsidR="007A1F62">
        <w:rPr>
          <w:color w:val="000000" w:themeColor="text1"/>
          <w:lang w:val="en-GB" w:eastAsia="ro-MD"/>
        </w:rPr>
        <w:t xml:space="preserve"> </w:t>
      </w:r>
      <w:r w:rsidR="00917BA3" w:rsidRPr="00301B0F">
        <w:rPr>
          <w:color w:val="000000" w:themeColor="text1"/>
          <w:lang w:val="en-GB" w:eastAsia="ro-MD"/>
        </w:rPr>
        <w:t>based approach, shall use the risk weight and expected loss applicable to the covered part of the exposure that correspond to exposures arising from specialised financing as provided for in the aforementioned normative act</w:t>
      </w:r>
      <w:r w:rsidRPr="00301B0F">
        <w:rPr>
          <w:color w:val="000000" w:themeColor="text1"/>
          <w:lang w:val="en-GB" w:eastAsia="ro-MD"/>
        </w:rPr>
        <w:t>.</w:t>
      </w:r>
    </w:p>
    <w:p w14:paraId="3E254750" w14:textId="7ECD54C4" w:rsidR="009A79F2" w:rsidRPr="00301B0F" w:rsidRDefault="009A79F2" w:rsidP="00D87955">
      <w:pPr>
        <w:jc w:val="both"/>
        <w:rPr>
          <w:color w:val="000000" w:themeColor="text1"/>
          <w:lang w:val="en-GB" w:eastAsia="ro-MD"/>
        </w:rPr>
      </w:pPr>
      <w:r w:rsidRPr="00301B0F">
        <w:rPr>
          <w:b/>
          <w:bCs/>
          <w:color w:val="000000" w:themeColor="text1"/>
          <w:lang w:val="en-GB" w:eastAsia="ro-MD"/>
        </w:rPr>
        <w:t>116</w:t>
      </w:r>
      <w:r w:rsidRPr="00301B0F">
        <w:rPr>
          <w:b/>
          <w:bCs/>
          <w:color w:val="000000" w:themeColor="text1"/>
          <w:vertAlign w:val="superscript"/>
          <w:lang w:val="en-GB" w:eastAsia="ro-MD"/>
        </w:rPr>
        <w:t>17</w:t>
      </w:r>
      <w:r w:rsidRPr="00301B0F">
        <w:rPr>
          <w:b/>
          <w:bCs/>
          <w:color w:val="000000" w:themeColor="text1"/>
          <w:lang w:val="en-GB" w:eastAsia="ro-MD"/>
        </w:rPr>
        <w:t>.</w:t>
      </w:r>
      <w:r w:rsidRPr="00301B0F">
        <w:rPr>
          <w:color w:val="000000" w:themeColor="text1"/>
          <w:lang w:val="en-GB" w:eastAsia="ro-MD"/>
        </w:rPr>
        <w:t xml:space="preserve"> </w:t>
      </w:r>
      <w:r w:rsidR="00917BA3" w:rsidRPr="00301B0F">
        <w:rPr>
          <w:color w:val="000000" w:themeColor="text1"/>
          <w:lang w:val="en-GB" w:eastAsia="ro-MD"/>
        </w:rPr>
        <w:t>For any uncovered part of the exposure value (E), banks shall use the risk weight and expected loss corresponding to the underlying exposure. To calculate the expected loss amounts, the IRB shortfall, and the IRB surplus as provided for in the normative act of the National Bank of Moldova regarding the treatment of credit risk under the internal ratings</w:t>
      </w:r>
      <w:r w:rsidR="00D313EA">
        <w:rPr>
          <w:color w:val="000000" w:themeColor="text1"/>
          <w:lang w:val="en-GB" w:eastAsia="ro-MD"/>
        </w:rPr>
        <w:t xml:space="preserve"> </w:t>
      </w:r>
      <w:r w:rsidR="00917BA3" w:rsidRPr="00301B0F">
        <w:rPr>
          <w:color w:val="000000" w:themeColor="text1"/>
          <w:lang w:val="en-GB" w:eastAsia="ro-MD"/>
        </w:rPr>
        <w:t>based approach set forth in, banks shall apply to the uncovered part of the exposure value any general or specific credit risk adjustment or any additional value adjustment in accordance with Regulation No 109/2018 related to the bank’s non-trading book business or any other reduction in own funds related to the exposure, other than deductions regarding the applicable amount of insufficient coverage for non-performing exposures made in accordance with Regulation No 109/2018</w:t>
      </w:r>
      <w:r w:rsidRPr="00301B0F">
        <w:rPr>
          <w:color w:val="000000" w:themeColor="text1"/>
          <w:lang w:val="en-GB" w:eastAsia="ro-MD"/>
        </w:rPr>
        <w:t>.</w:t>
      </w:r>
      <w:r w:rsidRPr="00301B0F">
        <w:rPr>
          <w:color w:val="000000" w:themeColor="text1"/>
          <w:sz w:val="18"/>
          <w:szCs w:val="18"/>
          <w:lang w:val="en-GB" w:eastAsia="ro-MD"/>
        </w:rPr>
        <w:t>”.</w:t>
      </w:r>
    </w:p>
    <w:p w14:paraId="1B0CD839" w14:textId="4C9ADDEE" w:rsidR="000B2CBE" w:rsidRPr="00301B0F" w:rsidRDefault="00917BA3" w:rsidP="008239F2">
      <w:pPr>
        <w:pStyle w:val="ListParagraph"/>
        <w:numPr>
          <w:ilvl w:val="1"/>
          <w:numId w:val="27"/>
        </w:numPr>
        <w:spacing w:before="80"/>
        <w:ind w:left="0" w:firstLine="567"/>
        <w:contextualSpacing w:val="0"/>
        <w:jc w:val="both"/>
        <w:rPr>
          <w:color w:val="000000" w:themeColor="text1"/>
          <w:lang w:val="en-GB"/>
        </w:rPr>
      </w:pPr>
      <w:r w:rsidRPr="00301B0F">
        <w:rPr>
          <w:color w:val="000000" w:themeColor="text1"/>
          <w:lang w:val="en-GB" w:eastAsia="ro-MD"/>
        </w:rPr>
        <w:t xml:space="preserve">Paragraph 119 shall be supplemented with the following text: “or if the exposure is a short-term exposure, whose maturity value (M) calculated in accordance with the National Bank of </w:t>
      </w:r>
      <w:r w:rsidRPr="00301B0F">
        <w:rPr>
          <w:color w:val="000000" w:themeColor="text1"/>
          <w:lang w:val="en-GB" w:eastAsia="ro-MD"/>
        </w:rPr>
        <w:lastRenderedPageBreak/>
        <w:t>Moldova’s normative act on credit risk treatment under the internal ratings</w:t>
      </w:r>
      <w:r w:rsidR="007A1F62">
        <w:rPr>
          <w:color w:val="000000" w:themeColor="text1"/>
          <w:lang w:val="en-GB" w:eastAsia="ro-MD"/>
        </w:rPr>
        <w:t xml:space="preserve"> </w:t>
      </w:r>
      <w:r w:rsidRPr="00301B0F">
        <w:rPr>
          <w:color w:val="000000" w:themeColor="text1"/>
          <w:lang w:val="en-GB" w:eastAsia="ro-MD"/>
        </w:rPr>
        <w:t>based approach</w:t>
      </w:r>
      <w:r w:rsidR="007A1F62">
        <w:rPr>
          <w:color w:val="000000" w:themeColor="text1"/>
          <w:lang w:val="en-GB" w:eastAsia="ro-MD"/>
        </w:rPr>
        <w:t xml:space="preserve"> </w:t>
      </w:r>
      <w:r w:rsidRPr="00301B0F">
        <w:rPr>
          <w:color w:val="000000" w:themeColor="text1"/>
          <w:lang w:val="en-GB" w:eastAsia="ro-MD"/>
        </w:rPr>
        <w:t>is subject to a one-day limit rather than a one-year limit</w:t>
      </w:r>
      <w:r w:rsidR="00754EA6" w:rsidRPr="00301B0F">
        <w:rPr>
          <w:color w:val="000000" w:themeColor="text1"/>
          <w:lang w:val="en-GB" w:eastAsia="ro-MD"/>
        </w:rPr>
        <w:t>”.</w:t>
      </w:r>
    </w:p>
    <w:p w14:paraId="29CEB5BB" w14:textId="5DD11DD3" w:rsidR="000B2CBE" w:rsidRPr="00301B0F" w:rsidRDefault="00917BA3" w:rsidP="008239F2">
      <w:pPr>
        <w:pStyle w:val="ListParagraph"/>
        <w:numPr>
          <w:ilvl w:val="1"/>
          <w:numId w:val="27"/>
        </w:numPr>
        <w:spacing w:before="80"/>
        <w:ind w:left="0" w:firstLine="567"/>
        <w:contextualSpacing w:val="0"/>
        <w:jc w:val="both"/>
        <w:rPr>
          <w:color w:val="000000" w:themeColor="text1"/>
          <w:lang w:val="en-GB"/>
        </w:rPr>
      </w:pPr>
      <w:r w:rsidRPr="00301B0F">
        <w:rPr>
          <w:color w:val="000000" w:themeColor="text1"/>
          <w:lang w:val="en-GB" w:eastAsia="ro-MD"/>
        </w:rPr>
        <w:t>Title VI is repealed</w:t>
      </w:r>
      <w:r w:rsidR="00754EA6" w:rsidRPr="00301B0F">
        <w:rPr>
          <w:color w:val="000000" w:themeColor="text1"/>
          <w:lang w:val="en-GB" w:eastAsia="ro-MD"/>
        </w:rPr>
        <w:t>.</w:t>
      </w:r>
    </w:p>
    <w:bookmarkEnd w:id="5"/>
    <w:p w14:paraId="5B240657" w14:textId="77148A97" w:rsidR="00F7502D" w:rsidRPr="00301B0F" w:rsidRDefault="00917BA3" w:rsidP="008239F2">
      <w:pPr>
        <w:pStyle w:val="ListParagraph"/>
        <w:numPr>
          <w:ilvl w:val="0"/>
          <w:numId w:val="27"/>
        </w:numPr>
        <w:spacing w:before="120" w:after="80"/>
        <w:ind w:left="0" w:firstLine="567"/>
        <w:contextualSpacing w:val="0"/>
        <w:jc w:val="both"/>
        <w:rPr>
          <w:color w:val="000000" w:themeColor="text1"/>
          <w:lang w:val="en-GB"/>
        </w:rPr>
      </w:pPr>
      <w:r w:rsidRPr="00301B0F">
        <w:rPr>
          <w:color w:val="000000" w:themeColor="text1"/>
          <w:lang w:val="en-GB"/>
        </w:rPr>
        <w:t xml:space="preserve">This Decision shall enter into force on 1 July 2027, </w:t>
      </w:r>
      <w:proofErr w:type="gramStart"/>
      <w:r w:rsidRPr="00301B0F">
        <w:rPr>
          <w:color w:val="000000" w:themeColor="text1"/>
          <w:lang w:val="en-GB"/>
        </w:rPr>
        <w:t>with the exception of</w:t>
      </w:r>
      <w:proofErr w:type="gramEnd"/>
      <w:r w:rsidRPr="00301B0F">
        <w:rPr>
          <w:color w:val="000000" w:themeColor="text1"/>
          <w:lang w:val="en-GB"/>
        </w:rPr>
        <w:t xml:space="preserve"> points 1.17.4, 1.24, 1.55.1, 1.55.2, 1.64. 1 (insofar as it concerns items representing positions in securitisations) and point 1.24 (insofar as it concerns paragraphs 34</w:t>
      </w:r>
      <w:r w:rsidRPr="0007006D">
        <w:rPr>
          <w:color w:val="000000" w:themeColor="text1"/>
          <w:vertAlign w:val="superscript"/>
          <w:lang w:val="en-GB"/>
        </w:rPr>
        <w:t>4</w:t>
      </w:r>
      <w:r w:rsidRPr="00301B0F">
        <w:rPr>
          <w:color w:val="000000" w:themeColor="text1"/>
          <w:lang w:val="en-GB"/>
        </w:rPr>
        <w:t>–34</w:t>
      </w:r>
      <w:r w:rsidRPr="0007006D">
        <w:rPr>
          <w:color w:val="000000" w:themeColor="text1"/>
          <w:vertAlign w:val="superscript"/>
          <w:lang w:val="en-GB"/>
        </w:rPr>
        <w:t>8</w:t>
      </w:r>
      <w:r w:rsidRPr="00301B0F">
        <w:rPr>
          <w:color w:val="000000" w:themeColor="text1"/>
          <w:lang w:val="en-GB"/>
        </w:rPr>
        <w:t xml:space="preserve"> of the Regulation relating to information reported under specific reporting obligations), which shall enter into force on 1 January 2028, and points 1.25.1, 1.25. 2, and 1.26 (in the part concerning paragraph 36, sub-paragraph 3) of the Regulation), which take effect on the date of entry into force of the Treaty of Accession of the Republic of Moldova to the European Union</w:t>
      </w:r>
      <w:r w:rsidR="00F7502D" w:rsidRPr="00301B0F">
        <w:rPr>
          <w:color w:val="000000" w:themeColor="text1"/>
          <w:lang w:val="en-GB"/>
        </w:rPr>
        <w:t>.</w:t>
      </w:r>
    </w:p>
    <w:sectPr w:rsidR="00F7502D" w:rsidRPr="00301B0F" w:rsidSect="000A0A0B">
      <w:headerReference w:type="even" r:id="rId20"/>
      <w:headerReference w:type="default" r:id="rId21"/>
      <w:footerReference w:type="even" r:id="rId22"/>
      <w:footerReference w:type="default" r:id="rId23"/>
      <w:headerReference w:type="first" r:id="rId24"/>
      <w:footerReference w:type="first" r:id="rId25"/>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DDB0" w14:textId="77777777" w:rsidR="008D3B76" w:rsidRDefault="008D3B76" w:rsidP="00D5426C">
      <w:r>
        <w:separator/>
      </w:r>
    </w:p>
  </w:endnote>
  <w:endnote w:type="continuationSeparator" w:id="0">
    <w:p w14:paraId="66DE48C1" w14:textId="77777777" w:rsidR="008D3B76" w:rsidRDefault="008D3B76" w:rsidP="00D5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6549"/>
      <w:docPartObj>
        <w:docPartGallery w:val="Page Numbers (Bottom of Page)"/>
        <w:docPartUnique/>
      </w:docPartObj>
    </w:sdtPr>
    <w:sdtEndPr>
      <w:rPr>
        <w:noProof/>
      </w:rPr>
    </w:sdtEndPr>
    <w:sdtContent>
      <w:p w14:paraId="354A2770" w14:textId="6E89380C" w:rsidR="00275D6F" w:rsidRDefault="00275D6F">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8D7B4A6" w14:textId="77777777" w:rsidR="00275D6F" w:rsidRDefault="0027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96476"/>
      <w:docPartObj>
        <w:docPartGallery w:val="Page Numbers (Bottom of Page)"/>
        <w:docPartUnique/>
      </w:docPartObj>
    </w:sdtPr>
    <w:sdtEndPr>
      <w:rPr>
        <w:noProof/>
      </w:rPr>
    </w:sdtEndPr>
    <w:sdtContent>
      <w:p w14:paraId="235EC9EA" w14:textId="0CC9EF1B" w:rsidR="00002DD2" w:rsidRDefault="00002D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89F02F" w14:textId="77777777" w:rsidR="00275D6F" w:rsidRDefault="00275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BF8" w14:textId="767F3900" w:rsidR="000A0A0B" w:rsidRDefault="000A0A0B" w:rsidP="000A0A0B">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2E44" w14:textId="77777777" w:rsidR="008D3B76" w:rsidRDefault="008D3B76" w:rsidP="00D5426C">
      <w:r>
        <w:separator/>
      </w:r>
    </w:p>
  </w:footnote>
  <w:footnote w:type="continuationSeparator" w:id="0">
    <w:p w14:paraId="14EF38A6" w14:textId="77777777" w:rsidR="008D3B76" w:rsidRDefault="008D3B76" w:rsidP="00D5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1413" w14:textId="77777777" w:rsidR="00275D6F" w:rsidRDefault="00275D6F" w:rsidP="00D5426C">
    <w:pPr>
      <w:pStyle w:val="Header"/>
      <w:jc w:val="right"/>
    </w:pPr>
    <w:bookmarkStart w:id="7" w:name="TITUS1HeaderEvenPages"/>
    <w:r>
      <w:t xml:space="preserve"> </w:t>
    </w:r>
  </w:p>
  <w:bookmarkEnd w:id="7"/>
  <w:p w14:paraId="6CE8DBD7" w14:textId="77777777" w:rsidR="00275D6F" w:rsidRDefault="00275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E464" w14:textId="0F910B58" w:rsidR="00275D6F" w:rsidRPr="009E7A2C" w:rsidRDefault="00275D6F" w:rsidP="002260D4">
    <w:pPr>
      <w:pStyle w:val="Header"/>
      <w:jc w:val="right"/>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090" w14:textId="69850A59" w:rsidR="00275D6F" w:rsidRPr="001409D9" w:rsidRDefault="00275D6F" w:rsidP="001409D9">
    <w:pPr>
      <w:pStyle w:val="Header"/>
      <w:jc w:val="right"/>
      <w:rPr>
        <w:b/>
        <w:bCs/>
        <w:lang w:val="ro-MD"/>
      </w:rPr>
    </w:pPr>
    <w:r w:rsidRPr="001409D9">
      <w:rPr>
        <w:b/>
        <w:bCs/>
        <w:lang w:val="ro-MD"/>
      </w:rPr>
      <w:t>E</w:t>
    </w:r>
    <w:r w:rsidR="001D23BE">
      <w:rPr>
        <w:b/>
        <w:bCs/>
        <w:lang w:val="ro-MD"/>
      </w:rPr>
      <w: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856"/>
    <w:multiLevelType w:val="hybridMultilevel"/>
    <w:tmpl w:val="CDD6084E"/>
    <w:lvl w:ilvl="0" w:tplc="CFB6FC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DD2379"/>
    <w:multiLevelType w:val="hybridMultilevel"/>
    <w:tmpl w:val="13668678"/>
    <w:lvl w:ilvl="0" w:tplc="AFCCBE18">
      <w:start w:val="1"/>
      <w:numFmt w:val="decimal"/>
      <w:suff w:val="space"/>
      <w:lvlText w:val="%1)"/>
      <w:lvlJc w:val="left"/>
      <w:pPr>
        <w:ind w:left="927" w:hanging="360"/>
      </w:pPr>
      <w:rPr>
        <w:rFonts w:hint="default"/>
      </w:rPr>
    </w:lvl>
    <w:lvl w:ilvl="1" w:tplc="08180019">
      <w:start w:val="1"/>
      <w:numFmt w:val="lowerLetter"/>
      <w:lvlText w:val="%2."/>
      <w:lvlJc w:val="left"/>
      <w:pPr>
        <w:ind w:left="1647" w:hanging="360"/>
      </w:pPr>
    </w:lvl>
    <w:lvl w:ilvl="2" w:tplc="0818001B">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797A20"/>
    <w:multiLevelType w:val="hybridMultilevel"/>
    <w:tmpl w:val="E00CE4DC"/>
    <w:lvl w:ilvl="0" w:tplc="DB72341E">
      <w:start w:val="1"/>
      <w:numFmt w:val="lowerLetter"/>
      <w:suff w:val="space"/>
      <w:lvlText w:val="%1)"/>
      <w:lvlJc w:val="left"/>
      <w:pPr>
        <w:ind w:left="927"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6AE433C"/>
    <w:multiLevelType w:val="hybridMultilevel"/>
    <w:tmpl w:val="BDC011B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2100E"/>
    <w:multiLevelType w:val="hybridMultilevel"/>
    <w:tmpl w:val="84F63B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97F4B90"/>
    <w:multiLevelType w:val="hybridMultilevel"/>
    <w:tmpl w:val="2A0C7D74"/>
    <w:lvl w:ilvl="0" w:tplc="05EC9A26">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9"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EF3816"/>
    <w:multiLevelType w:val="multilevel"/>
    <w:tmpl w:val="2162083C"/>
    <w:lvl w:ilvl="0">
      <w:start w:val="1"/>
      <w:numFmt w:val="decimal"/>
      <w:lvlText w:val="%1."/>
      <w:lvlJc w:val="center"/>
      <w:pPr>
        <w:ind w:left="227" w:firstLine="62"/>
      </w:pPr>
      <w:rPr>
        <w:rFonts w:hint="default"/>
        <w:b/>
        <w:bCs/>
      </w:rPr>
    </w:lvl>
    <w:lvl w:ilvl="1">
      <w:start w:val="1"/>
      <w:numFmt w:val="decimal"/>
      <w:suff w:val="space"/>
      <w:lvlText w:val="%1.%2."/>
      <w:lvlJc w:val="center"/>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11" w15:restartNumberingAfterBreak="0">
    <w:nsid w:val="29A9627F"/>
    <w:multiLevelType w:val="hybridMultilevel"/>
    <w:tmpl w:val="204ED19C"/>
    <w:lvl w:ilvl="0" w:tplc="B79A1572">
      <w:start w:val="1"/>
      <w:numFmt w:val="decimal"/>
      <w:lvlText w:val="%1)"/>
      <w:lvlJc w:val="left"/>
      <w:pPr>
        <w:ind w:left="930" w:hanging="57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2C8C2FAF"/>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A379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F87A30"/>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345D8B"/>
    <w:multiLevelType w:val="multilevel"/>
    <w:tmpl w:val="24ECC6FC"/>
    <w:lvl w:ilvl="0">
      <w:start w:val="1"/>
      <w:numFmt w:val="decimal"/>
      <w:lvlText w:val="%1."/>
      <w:lvlJc w:val="center"/>
      <w:pPr>
        <w:ind w:left="227" w:firstLine="62"/>
      </w:pPr>
      <w:rPr>
        <w:rFonts w:hint="default"/>
        <w:b/>
        <w:bCs/>
      </w:rPr>
    </w:lvl>
    <w:lvl w:ilvl="1">
      <w:start w:val="1"/>
      <w:numFmt w:val="decimal"/>
      <w:suff w:val="space"/>
      <w:lvlText w:val="%1.%2."/>
      <w:lvlJc w:val="left"/>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16" w15:restartNumberingAfterBreak="0">
    <w:nsid w:val="47677FFE"/>
    <w:multiLevelType w:val="hybridMultilevel"/>
    <w:tmpl w:val="6E8C7AF8"/>
    <w:lvl w:ilvl="0" w:tplc="25C0C0DC">
      <w:start w:val="1"/>
      <w:numFmt w:val="decimal"/>
      <w:lvlText w:val="%1."/>
      <w:lvlJc w:val="left"/>
      <w:pPr>
        <w:ind w:left="927" w:hanging="360"/>
      </w:pPr>
    </w:lvl>
    <w:lvl w:ilvl="1" w:tplc="04090011">
      <w:start w:val="1"/>
      <w:numFmt w:val="decimal"/>
      <w:lvlText w:val="%2)"/>
      <w:lvlJc w:val="left"/>
      <w:pPr>
        <w:ind w:left="1647" w:hanging="360"/>
      </w:pPr>
      <w:rPr>
        <w:rFonts w:hint="default"/>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494F10D0"/>
    <w:multiLevelType w:val="hybridMultilevel"/>
    <w:tmpl w:val="8F02AD78"/>
    <w:lvl w:ilvl="0" w:tplc="51B87F0C">
      <w:start w:val="1"/>
      <w:numFmt w:val="decimal"/>
      <w:suff w:val="space"/>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4E6C3E24"/>
    <w:multiLevelType w:val="hybridMultilevel"/>
    <w:tmpl w:val="B2EC79A2"/>
    <w:lvl w:ilvl="0" w:tplc="4F200734">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9"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C73B74"/>
    <w:multiLevelType w:val="multilevel"/>
    <w:tmpl w:val="24ECC6FC"/>
    <w:lvl w:ilvl="0">
      <w:start w:val="1"/>
      <w:numFmt w:val="decimal"/>
      <w:lvlText w:val="%1."/>
      <w:lvlJc w:val="center"/>
      <w:pPr>
        <w:ind w:left="222" w:firstLine="62"/>
      </w:pPr>
      <w:rPr>
        <w:rFonts w:hint="default"/>
        <w:b/>
        <w:bCs/>
      </w:rPr>
    </w:lvl>
    <w:lvl w:ilvl="1">
      <w:start w:val="1"/>
      <w:numFmt w:val="decimal"/>
      <w:suff w:val="space"/>
      <w:lvlText w:val="%1.%2."/>
      <w:lvlJc w:val="left"/>
      <w:pPr>
        <w:ind w:left="789" w:firstLine="62"/>
      </w:pPr>
      <w:rPr>
        <w:rFonts w:hint="default"/>
        <w:b/>
        <w:bCs/>
      </w:rPr>
    </w:lvl>
    <w:lvl w:ilvl="2">
      <w:start w:val="1"/>
      <w:numFmt w:val="decimal"/>
      <w:suff w:val="space"/>
      <w:lvlText w:val="%1.%2.%3."/>
      <w:lvlJc w:val="left"/>
      <w:pPr>
        <w:ind w:left="1639"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21"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2"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D32EED"/>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5" w15:restartNumberingAfterBreak="0">
    <w:nsid w:val="5C223B6F"/>
    <w:multiLevelType w:val="hybridMultilevel"/>
    <w:tmpl w:val="F1F87536"/>
    <w:lvl w:ilvl="0" w:tplc="945AA9C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D5D7E50"/>
    <w:multiLevelType w:val="hybridMultilevel"/>
    <w:tmpl w:val="C8A4B8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604F0722"/>
    <w:multiLevelType w:val="hybridMultilevel"/>
    <w:tmpl w:val="80EEA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71D00"/>
    <w:multiLevelType w:val="hybridMultilevel"/>
    <w:tmpl w:val="08388B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0" w15:restartNumberingAfterBreak="0">
    <w:nsid w:val="655B2A31"/>
    <w:multiLevelType w:val="hybridMultilevel"/>
    <w:tmpl w:val="E5685540"/>
    <w:lvl w:ilvl="0" w:tplc="D05E3B64">
      <w:start w:val="1"/>
      <w:numFmt w:val="decimal"/>
      <w:suff w:val="space"/>
      <w:lvlText w:val="%1."/>
      <w:lvlJc w:val="left"/>
      <w:pPr>
        <w:ind w:left="927" w:hanging="360"/>
      </w:pPr>
      <w:rPr>
        <w:rFonts w:hint="default"/>
        <w:b/>
        <w:bCs/>
        <w:strike w:val="0"/>
      </w:rPr>
    </w:lvl>
    <w:lvl w:ilvl="1" w:tplc="C4929C02">
      <w:start w:val="1"/>
      <w:numFmt w:val="decimal"/>
      <w:lvlText w:val="%2)"/>
      <w:lvlJc w:val="left"/>
      <w:pPr>
        <w:ind w:left="1647" w:hanging="360"/>
      </w:pPr>
      <w:rPr>
        <w:b/>
        <w:bCs/>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670B6DC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CE1EE7"/>
    <w:multiLevelType w:val="hybridMultilevel"/>
    <w:tmpl w:val="859402F6"/>
    <w:lvl w:ilvl="0" w:tplc="89CAA89A">
      <w:start w:val="1"/>
      <w:numFmt w:val="decimal"/>
      <w:lvlText w:val="%1."/>
      <w:lvlJc w:val="left"/>
      <w:pPr>
        <w:ind w:left="171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545" w:hanging="405"/>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B2D4103"/>
    <w:multiLevelType w:val="hybridMultilevel"/>
    <w:tmpl w:val="8F8ED832"/>
    <w:lvl w:ilvl="0" w:tplc="E79E5CC8">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abstractNum w:abstractNumId="36" w15:restartNumberingAfterBreak="0">
    <w:nsid w:val="7FF07002"/>
    <w:multiLevelType w:val="multilevel"/>
    <w:tmpl w:val="2162083C"/>
    <w:lvl w:ilvl="0">
      <w:start w:val="1"/>
      <w:numFmt w:val="decimal"/>
      <w:lvlText w:val="%1."/>
      <w:lvlJc w:val="center"/>
      <w:pPr>
        <w:ind w:left="227" w:firstLine="62"/>
      </w:pPr>
      <w:rPr>
        <w:rFonts w:hint="default"/>
        <w:b/>
        <w:bCs/>
      </w:rPr>
    </w:lvl>
    <w:lvl w:ilvl="1">
      <w:start w:val="1"/>
      <w:numFmt w:val="decimal"/>
      <w:suff w:val="space"/>
      <w:lvlText w:val="%1.%2."/>
      <w:lvlJc w:val="center"/>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num w:numId="1" w16cid:durableId="11009526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544632">
    <w:abstractNumId w:val="22"/>
  </w:num>
  <w:num w:numId="3" w16cid:durableId="741291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429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106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8694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553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3674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62888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0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61513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562777">
    <w:abstractNumId w:val="30"/>
  </w:num>
  <w:num w:numId="13" w16cid:durableId="1370764555">
    <w:abstractNumId w:val="1"/>
  </w:num>
  <w:num w:numId="14" w16cid:durableId="140847304">
    <w:abstractNumId w:val="3"/>
  </w:num>
  <w:num w:numId="15" w16cid:durableId="2118869199">
    <w:abstractNumId w:val="16"/>
  </w:num>
  <w:num w:numId="16" w16cid:durableId="1236402705">
    <w:abstractNumId w:val="6"/>
  </w:num>
  <w:num w:numId="17" w16cid:durableId="595210150">
    <w:abstractNumId w:val="34"/>
  </w:num>
  <w:num w:numId="18" w16cid:durableId="1710298874">
    <w:abstractNumId w:val="27"/>
  </w:num>
  <w:num w:numId="19" w16cid:durableId="547568932">
    <w:abstractNumId w:val="7"/>
  </w:num>
  <w:num w:numId="20" w16cid:durableId="1677152211">
    <w:abstractNumId w:val="0"/>
  </w:num>
  <w:num w:numId="21" w16cid:durableId="1915623828">
    <w:abstractNumId w:val="4"/>
  </w:num>
  <w:num w:numId="22" w16cid:durableId="283539057">
    <w:abstractNumId w:val="17"/>
  </w:num>
  <w:num w:numId="23" w16cid:durableId="1503735004">
    <w:abstractNumId w:val="28"/>
  </w:num>
  <w:num w:numId="24" w16cid:durableId="556627740">
    <w:abstractNumId w:val="26"/>
  </w:num>
  <w:num w:numId="25" w16cid:durableId="1084183317">
    <w:abstractNumId w:val="18"/>
  </w:num>
  <w:num w:numId="26" w16cid:durableId="1341809678">
    <w:abstractNumId w:val="5"/>
  </w:num>
  <w:num w:numId="27" w16cid:durableId="1062093486">
    <w:abstractNumId w:val="20"/>
  </w:num>
  <w:num w:numId="28" w16cid:durableId="1351371882">
    <w:abstractNumId w:val="25"/>
  </w:num>
  <w:num w:numId="29" w16cid:durableId="563100354">
    <w:abstractNumId w:val="11"/>
  </w:num>
  <w:num w:numId="30" w16cid:durableId="2060282042">
    <w:abstractNumId w:val="8"/>
  </w:num>
  <w:num w:numId="31" w16cid:durableId="412700447">
    <w:abstractNumId w:val="2"/>
  </w:num>
  <w:num w:numId="32" w16cid:durableId="1700861896">
    <w:abstractNumId w:val="10"/>
  </w:num>
  <w:num w:numId="33" w16cid:durableId="2061980253">
    <w:abstractNumId w:val="36"/>
  </w:num>
  <w:num w:numId="34" w16cid:durableId="469136039">
    <w:abstractNumId w:val="14"/>
  </w:num>
  <w:num w:numId="35" w16cid:durableId="625627603">
    <w:abstractNumId w:val="23"/>
  </w:num>
  <w:num w:numId="36" w16cid:durableId="1793162598">
    <w:abstractNumId w:val="15"/>
  </w:num>
  <w:num w:numId="37" w16cid:durableId="554007267">
    <w:abstractNumId w:val="13"/>
  </w:num>
  <w:num w:numId="38" w16cid:durableId="1871911474">
    <w:abstractNumId w:val="12"/>
  </w:num>
  <w:num w:numId="39" w16cid:durableId="20602790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D1"/>
    <w:rsid w:val="00000563"/>
    <w:rsid w:val="000008D0"/>
    <w:rsid w:val="00000A1E"/>
    <w:rsid w:val="00002DD2"/>
    <w:rsid w:val="00004C9C"/>
    <w:rsid w:val="00004E08"/>
    <w:rsid w:val="00005CC0"/>
    <w:rsid w:val="000062E8"/>
    <w:rsid w:val="0000731F"/>
    <w:rsid w:val="000100B5"/>
    <w:rsid w:val="00010541"/>
    <w:rsid w:val="00012136"/>
    <w:rsid w:val="00013153"/>
    <w:rsid w:val="00015315"/>
    <w:rsid w:val="0001535B"/>
    <w:rsid w:val="00015A00"/>
    <w:rsid w:val="00015F9E"/>
    <w:rsid w:val="00016213"/>
    <w:rsid w:val="0001648A"/>
    <w:rsid w:val="00016FD7"/>
    <w:rsid w:val="000202E2"/>
    <w:rsid w:val="00022040"/>
    <w:rsid w:val="00022961"/>
    <w:rsid w:val="00023468"/>
    <w:rsid w:val="00024254"/>
    <w:rsid w:val="0002449C"/>
    <w:rsid w:val="00024745"/>
    <w:rsid w:val="00024D44"/>
    <w:rsid w:val="000271BA"/>
    <w:rsid w:val="00031C90"/>
    <w:rsid w:val="0003245D"/>
    <w:rsid w:val="00033BE2"/>
    <w:rsid w:val="0003402E"/>
    <w:rsid w:val="000340B6"/>
    <w:rsid w:val="00034D45"/>
    <w:rsid w:val="00034ECD"/>
    <w:rsid w:val="000363F6"/>
    <w:rsid w:val="000365C1"/>
    <w:rsid w:val="00036A2E"/>
    <w:rsid w:val="000374C5"/>
    <w:rsid w:val="00040571"/>
    <w:rsid w:val="00040F36"/>
    <w:rsid w:val="000415C8"/>
    <w:rsid w:val="00041B25"/>
    <w:rsid w:val="0004235E"/>
    <w:rsid w:val="00042580"/>
    <w:rsid w:val="00042943"/>
    <w:rsid w:val="00042EFC"/>
    <w:rsid w:val="00043F32"/>
    <w:rsid w:val="00046430"/>
    <w:rsid w:val="000465A3"/>
    <w:rsid w:val="00046928"/>
    <w:rsid w:val="000469AC"/>
    <w:rsid w:val="0004725A"/>
    <w:rsid w:val="000477DB"/>
    <w:rsid w:val="000505D9"/>
    <w:rsid w:val="00050E7E"/>
    <w:rsid w:val="0005138E"/>
    <w:rsid w:val="000513F6"/>
    <w:rsid w:val="00053365"/>
    <w:rsid w:val="0005444E"/>
    <w:rsid w:val="00055119"/>
    <w:rsid w:val="000567C0"/>
    <w:rsid w:val="00057B60"/>
    <w:rsid w:val="00057EB7"/>
    <w:rsid w:val="00060555"/>
    <w:rsid w:val="000606BA"/>
    <w:rsid w:val="00061719"/>
    <w:rsid w:val="000630F0"/>
    <w:rsid w:val="000638E9"/>
    <w:rsid w:val="00064598"/>
    <w:rsid w:val="00064BD9"/>
    <w:rsid w:val="00066014"/>
    <w:rsid w:val="0006661B"/>
    <w:rsid w:val="000667E3"/>
    <w:rsid w:val="00066F44"/>
    <w:rsid w:val="00067710"/>
    <w:rsid w:val="0007006D"/>
    <w:rsid w:val="0007234C"/>
    <w:rsid w:val="000723FD"/>
    <w:rsid w:val="00072CC5"/>
    <w:rsid w:val="000730E4"/>
    <w:rsid w:val="00073BCE"/>
    <w:rsid w:val="000742E5"/>
    <w:rsid w:val="000748E8"/>
    <w:rsid w:val="00075419"/>
    <w:rsid w:val="00075C2D"/>
    <w:rsid w:val="0007653E"/>
    <w:rsid w:val="00077162"/>
    <w:rsid w:val="000771C6"/>
    <w:rsid w:val="0007732E"/>
    <w:rsid w:val="00077C4D"/>
    <w:rsid w:val="00080147"/>
    <w:rsid w:val="000804F1"/>
    <w:rsid w:val="000807AB"/>
    <w:rsid w:val="00080984"/>
    <w:rsid w:val="00083C8C"/>
    <w:rsid w:val="00084DA9"/>
    <w:rsid w:val="00085A17"/>
    <w:rsid w:val="00085B0E"/>
    <w:rsid w:val="0008627B"/>
    <w:rsid w:val="00086450"/>
    <w:rsid w:val="000868D8"/>
    <w:rsid w:val="00090169"/>
    <w:rsid w:val="00090870"/>
    <w:rsid w:val="00091C2F"/>
    <w:rsid w:val="00092360"/>
    <w:rsid w:val="00092B8E"/>
    <w:rsid w:val="00093C0C"/>
    <w:rsid w:val="00093E9C"/>
    <w:rsid w:val="00095646"/>
    <w:rsid w:val="00095E2F"/>
    <w:rsid w:val="000964CF"/>
    <w:rsid w:val="000A0216"/>
    <w:rsid w:val="000A0A0B"/>
    <w:rsid w:val="000A11E4"/>
    <w:rsid w:val="000A29B3"/>
    <w:rsid w:val="000A3B8D"/>
    <w:rsid w:val="000A4291"/>
    <w:rsid w:val="000A4376"/>
    <w:rsid w:val="000A465A"/>
    <w:rsid w:val="000A47CB"/>
    <w:rsid w:val="000A4CB1"/>
    <w:rsid w:val="000A5A0D"/>
    <w:rsid w:val="000A6F35"/>
    <w:rsid w:val="000A7696"/>
    <w:rsid w:val="000A7BAC"/>
    <w:rsid w:val="000B0BD2"/>
    <w:rsid w:val="000B0C0F"/>
    <w:rsid w:val="000B10CF"/>
    <w:rsid w:val="000B1257"/>
    <w:rsid w:val="000B2510"/>
    <w:rsid w:val="000B2CBE"/>
    <w:rsid w:val="000B355C"/>
    <w:rsid w:val="000B3CD0"/>
    <w:rsid w:val="000B4730"/>
    <w:rsid w:val="000B49BD"/>
    <w:rsid w:val="000B4B74"/>
    <w:rsid w:val="000B68EF"/>
    <w:rsid w:val="000B7384"/>
    <w:rsid w:val="000B7B64"/>
    <w:rsid w:val="000B7F40"/>
    <w:rsid w:val="000C0050"/>
    <w:rsid w:val="000C0C20"/>
    <w:rsid w:val="000C28AB"/>
    <w:rsid w:val="000C4044"/>
    <w:rsid w:val="000C50ED"/>
    <w:rsid w:val="000C5FD6"/>
    <w:rsid w:val="000C6139"/>
    <w:rsid w:val="000C632E"/>
    <w:rsid w:val="000D08F8"/>
    <w:rsid w:val="000D166D"/>
    <w:rsid w:val="000D2636"/>
    <w:rsid w:val="000D26A9"/>
    <w:rsid w:val="000D319A"/>
    <w:rsid w:val="000D34B8"/>
    <w:rsid w:val="000D3711"/>
    <w:rsid w:val="000D401A"/>
    <w:rsid w:val="000D73D1"/>
    <w:rsid w:val="000E1446"/>
    <w:rsid w:val="000E2E48"/>
    <w:rsid w:val="000E409B"/>
    <w:rsid w:val="000E45D3"/>
    <w:rsid w:val="000E559E"/>
    <w:rsid w:val="000E6480"/>
    <w:rsid w:val="000E6FE3"/>
    <w:rsid w:val="000E70AF"/>
    <w:rsid w:val="000E7243"/>
    <w:rsid w:val="000E7726"/>
    <w:rsid w:val="000E79C7"/>
    <w:rsid w:val="000F0C57"/>
    <w:rsid w:val="000F15A8"/>
    <w:rsid w:val="000F18DA"/>
    <w:rsid w:val="000F1C4E"/>
    <w:rsid w:val="000F219D"/>
    <w:rsid w:val="000F36E4"/>
    <w:rsid w:val="000F4D92"/>
    <w:rsid w:val="000F602B"/>
    <w:rsid w:val="000F6FC6"/>
    <w:rsid w:val="000F78EC"/>
    <w:rsid w:val="000F7F6A"/>
    <w:rsid w:val="00100621"/>
    <w:rsid w:val="00101003"/>
    <w:rsid w:val="00103749"/>
    <w:rsid w:val="0010486A"/>
    <w:rsid w:val="00105408"/>
    <w:rsid w:val="001056D6"/>
    <w:rsid w:val="001059EF"/>
    <w:rsid w:val="00105FCA"/>
    <w:rsid w:val="00107A0C"/>
    <w:rsid w:val="00111B58"/>
    <w:rsid w:val="00113164"/>
    <w:rsid w:val="0011444E"/>
    <w:rsid w:val="00114AD2"/>
    <w:rsid w:val="00114E81"/>
    <w:rsid w:val="00115665"/>
    <w:rsid w:val="001161B2"/>
    <w:rsid w:val="0011659D"/>
    <w:rsid w:val="001169F7"/>
    <w:rsid w:val="00117AD7"/>
    <w:rsid w:val="0012034E"/>
    <w:rsid w:val="0012202A"/>
    <w:rsid w:val="001221A2"/>
    <w:rsid w:val="00122323"/>
    <w:rsid w:val="00122CC2"/>
    <w:rsid w:val="00123A40"/>
    <w:rsid w:val="00124AE6"/>
    <w:rsid w:val="00124F8F"/>
    <w:rsid w:val="00125281"/>
    <w:rsid w:val="001263A3"/>
    <w:rsid w:val="00126865"/>
    <w:rsid w:val="001274C3"/>
    <w:rsid w:val="00127ABD"/>
    <w:rsid w:val="00127FB7"/>
    <w:rsid w:val="00130B29"/>
    <w:rsid w:val="001327FF"/>
    <w:rsid w:val="001356E0"/>
    <w:rsid w:val="00135C24"/>
    <w:rsid w:val="00136205"/>
    <w:rsid w:val="0013698F"/>
    <w:rsid w:val="00136B46"/>
    <w:rsid w:val="001409D9"/>
    <w:rsid w:val="001429FA"/>
    <w:rsid w:val="001455A6"/>
    <w:rsid w:val="00146EA1"/>
    <w:rsid w:val="001477A3"/>
    <w:rsid w:val="00147E3F"/>
    <w:rsid w:val="00151A9F"/>
    <w:rsid w:val="00151E45"/>
    <w:rsid w:val="001558FC"/>
    <w:rsid w:val="00155F0A"/>
    <w:rsid w:val="001567B9"/>
    <w:rsid w:val="00156E3F"/>
    <w:rsid w:val="00157B95"/>
    <w:rsid w:val="00157C12"/>
    <w:rsid w:val="00157E0D"/>
    <w:rsid w:val="0016016F"/>
    <w:rsid w:val="00160864"/>
    <w:rsid w:val="00161438"/>
    <w:rsid w:val="00161741"/>
    <w:rsid w:val="00161CD5"/>
    <w:rsid w:val="001622A2"/>
    <w:rsid w:val="00162EF7"/>
    <w:rsid w:val="001641E3"/>
    <w:rsid w:val="00165045"/>
    <w:rsid w:val="00165F1B"/>
    <w:rsid w:val="0016659B"/>
    <w:rsid w:val="0016680C"/>
    <w:rsid w:val="00166D3F"/>
    <w:rsid w:val="001671FE"/>
    <w:rsid w:val="00167A8E"/>
    <w:rsid w:val="00172629"/>
    <w:rsid w:val="001727BF"/>
    <w:rsid w:val="00172E97"/>
    <w:rsid w:val="0017349E"/>
    <w:rsid w:val="00174B99"/>
    <w:rsid w:val="00175CD2"/>
    <w:rsid w:val="00176131"/>
    <w:rsid w:val="001762E1"/>
    <w:rsid w:val="0017693E"/>
    <w:rsid w:val="00180AB8"/>
    <w:rsid w:val="001816FA"/>
    <w:rsid w:val="0018298B"/>
    <w:rsid w:val="00183266"/>
    <w:rsid w:val="0018467D"/>
    <w:rsid w:val="001866E8"/>
    <w:rsid w:val="00186DD2"/>
    <w:rsid w:val="001872EF"/>
    <w:rsid w:val="00192546"/>
    <w:rsid w:val="00194694"/>
    <w:rsid w:val="001951E4"/>
    <w:rsid w:val="00195530"/>
    <w:rsid w:val="00196B11"/>
    <w:rsid w:val="00197C9F"/>
    <w:rsid w:val="00197E52"/>
    <w:rsid w:val="001A04E1"/>
    <w:rsid w:val="001A059E"/>
    <w:rsid w:val="001A0608"/>
    <w:rsid w:val="001A1FC6"/>
    <w:rsid w:val="001A2628"/>
    <w:rsid w:val="001A2AEA"/>
    <w:rsid w:val="001A2D08"/>
    <w:rsid w:val="001A363D"/>
    <w:rsid w:val="001A36F3"/>
    <w:rsid w:val="001A3F78"/>
    <w:rsid w:val="001A42E6"/>
    <w:rsid w:val="001A4321"/>
    <w:rsid w:val="001A543C"/>
    <w:rsid w:val="001A68BC"/>
    <w:rsid w:val="001A7BB9"/>
    <w:rsid w:val="001A7FB6"/>
    <w:rsid w:val="001B04C4"/>
    <w:rsid w:val="001B0D5A"/>
    <w:rsid w:val="001B228A"/>
    <w:rsid w:val="001B2442"/>
    <w:rsid w:val="001B2B86"/>
    <w:rsid w:val="001B2EC8"/>
    <w:rsid w:val="001B35E4"/>
    <w:rsid w:val="001B38F1"/>
    <w:rsid w:val="001B3F42"/>
    <w:rsid w:val="001B4B40"/>
    <w:rsid w:val="001B54B3"/>
    <w:rsid w:val="001B5D32"/>
    <w:rsid w:val="001C0DAE"/>
    <w:rsid w:val="001C0FA8"/>
    <w:rsid w:val="001C0FC3"/>
    <w:rsid w:val="001C126B"/>
    <w:rsid w:val="001C3217"/>
    <w:rsid w:val="001C525E"/>
    <w:rsid w:val="001C58D6"/>
    <w:rsid w:val="001C68E3"/>
    <w:rsid w:val="001C7203"/>
    <w:rsid w:val="001D0030"/>
    <w:rsid w:val="001D074A"/>
    <w:rsid w:val="001D22AA"/>
    <w:rsid w:val="001D23BE"/>
    <w:rsid w:val="001D3052"/>
    <w:rsid w:val="001D470E"/>
    <w:rsid w:val="001D4A7A"/>
    <w:rsid w:val="001D4B0D"/>
    <w:rsid w:val="001D7176"/>
    <w:rsid w:val="001E0D8E"/>
    <w:rsid w:val="001E0E28"/>
    <w:rsid w:val="001E3005"/>
    <w:rsid w:val="001E3DF1"/>
    <w:rsid w:val="001E458D"/>
    <w:rsid w:val="001E47DD"/>
    <w:rsid w:val="001E4A00"/>
    <w:rsid w:val="001E526E"/>
    <w:rsid w:val="001E52F0"/>
    <w:rsid w:val="001E5748"/>
    <w:rsid w:val="001E576A"/>
    <w:rsid w:val="001F09D3"/>
    <w:rsid w:val="001F0AB9"/>
    <w:rsid w:val="001F11FC"/>
    <w:rsid w:val="001F19C9"/>
    <w:rsid w:val="001F1D70"/>
    <w:rsid w:val="001F207B"/>
    <w:rsid w:val="001F20CB"/>
    <w:rsid w:val="001F20EE"/>
    <w:rsid w:val="001F407B"/>
    <w:rsid w:val="001F4CA0"/>
    <w:rsid w:val="001F57E6"/>
    <w:rsid w:val="001F5888"/>
    <w:rsid w:val="001F693C"/>
    <w:rsid w:val="001F6D7C"/>
    <w:rsid w:val="001F77E0"/>
    <w:rsid w:val="001F7D8B"/>
    <w:rsid w:val="00200D4A"/>
    <w:rsid w:val="00201953"/>
    <w:rsid w:val="00201B0D"/>
    <w:rsid w:val="00202011"/>
    <w:rsid w:val="00202A85"/>
    <w:rsid w:val="0020376E"/>
    <w:rsid w:val="00203E83"/>
    <w:rsid w:val="002058EF"/>
    <w:rsid w:val="00205DE6"/>
    <w:rsid w:val="002072C9"/>
    <w:rsid w:val="00207EE7"/>
    <w:rsid w:val="002108CF"/>
    <w:rsid w:val="00210FF1"/>
    <w:rsid w:val="00211BE1"/>
    <w:rsid w:val="00213986"/>
    <w:rsid w:val="00214058"/>
    <w:rsid w:val="002150E3"/>
    <w:rsid w:val="002155A2"/>
    <w:rsid w:val="00215F0D"/>
    <w:rsid w:val="00216650"/>
    <w:rsid w:val="0021784F"/>
    <w:rsid w:val="00220161"/>
    <w:rsid w:val="00220F7B"/>
    <w:rsid w:val="00223645"/>
    <w:rsid w:val="0022375A"/>
    <w:rsid w:val="00223BE6"/>
    <w:rsid w:val="00223C31"/>
    <w:rsid w:val="002243C7"/>
    <w:rsid w:val="00224F94"/>
    <w:rsid w:val="00225688"/>
    <w:rsid w:val="00225BE1"/>
    <w:rsid w:val="002260D4"/>
    <w:rsid w:val="00226E79"/>
    <w:rsid w:val="002272EA"/>
    <w:rsid w:val="00230594"/>
    <w:rsid w:val="0023120D"/>
    <w:rsid w:val="002337D1"/>
    <w:rsid w:val="00234B2B"/>
    <w:rsid w:val="00234D82"/>
    <w:rsid w:val="0023517C"/>
    <w:rsid w:val="00235BF9"/>
    <w:rsid w:val="002404C9"/>
    <w:rsid w:val="0024109D"/>
    <w:rsid w:val="00241CA5"/>
    <w:rsid w:val="00242BCF"/>
    <w:rsid w:val="00242D27"/>
    <w:rsid w:val="00243CD1"/>
    <w:rsid w:val="00243E2E"/>
    <w:rsid w:val="00244131"/>
    <w:rsid w:val="00245F14"/>
    <w:rsid w:val="002466DD"/>
    <w:rsid w:val="00247177"/>
    <w:rsid w:val="00250DDE"/>
    <w:rsid w:val="00251838"/>
    <w:rsid w:val="00251C13"/>
    <w:rsid w:val="00253231"/>
    <w:rsid w:val="00254F17"/>
    <w:rsid w:val="0025667E"/>
    <w:rsid w:val="002576C9"/>
    <w:rsid w:val="00261B66"/>
    <w:rsid w:val="00263D68"/>
    <w:rsid w:val="00264B1D"/>
    <w:rsid w:val="00265F43"/>
    <w:rsid w:val="00266CFA"/>
    <w:rsid w:val="0027027C"/>
    <w:rsid w:val="0027079C"/>
    <w:rsid w:val="00270BF0"/>
    <w:rsid w:val="00272ABC"/>
    <w:rsid w:val="00274E79"/>
    <w:rsid w:val="00274FFD"/>
    <w:rsid w:val="00275B40"/>
    <w:rsid w:val="00275D6F"/>
    <w:rsid w:val="00275E14"/>
    <w:rsid w:val="002769FD"/>
    <w:rsid w:val="002774AE"/>
    <w:rsid w:val="002774BE"/>
    <w:rsid w:val="0027791D"/>
    <w:rsid w:val="00280A74"/>
    <w:rsid w:val="00280BE3"/>
    <w:rsid w:val="00280FCD"/>
    <w:rsid w:val="002810DB"/>
    <w:rsid w:val="002812A4"/>
    <w:rsid w:val="002819C0"/>
    <w:rsid w:val="00281C0F"/>
    <w:rsid w:val="002823F6"/>
    <w:rsid w:val="0028240B"/>
    <w:rsid w:val="00282939"/>
    <w:rsid w:val="002832A1"/>
    <w:rsid w:val="00283501"/>
    <w:rsid w:val="00283506"/>
    <w:rsid w:val="0028358D"/>
    <w:rsid w:val="00284A27"/>
    <w:rsid w:val="0028542D"/>
    <w:rsid w:val="00285916"/>
    <w:rsid w:val="00285E0B"/>
    <w:rsid w:val="002865EE"/>
    <w:rsid w:val="00287672"/>
    <w:rsid w:val="00287B8B"/>
    <w:rsid w:val="00287FE5"/>
    <w:rsid w:val="00292716"/>
    <w:rsid w:val="00292C2F"/>
    <w:rsid w:val="00293D31"/>
    <w:rsid w:val="00293F8C"/>
    <w:rsid w:val="002951C5"/>
    <w:rsid w:val="002957FA"/>
    <w:rsid w:val="0029623F"/>
    <w:rsid w:val="00297CF0"/>
    <w:rsid w:val="002A22E9"/>
    <w:rsid w:val="002A26CC"/>
    <w:rsid w:val="002A3558"/>
    <w:rsid w:val="002A428C"/>
    <w:rsid w:val="002A454D"/>
    <w:rsid w:val="002A4958"/>
    <w:rsid w:val="002A6352"/>
    <w:rsid w:val="002A77A7"/>
    <w:rsid w:val="002B0675"/>
    <w:rsid w:val="002B2B58"/>
    <w:rsid w:val="002B2FBC"/>
    <w:rsid w:val="002B327D"/>
    <w:rsid w:val="002B3B4C"/>
    <w:rsid w:val="002B3E07"/>
    <w:rsid w:val="002B408F"/>
    <w:rsid w:val="002B418E"/>
    <w:rsid w:val="002B43F7"/>
    <w:rsid w:val="002B50E5"/>
    <w:rsid w:val="002B5D3B"/>
    <w:rsid w:val="002B6094"/>
    <w:rsid w:val="002B7D1D"/>
    <w:rsid w:val="002C0BFB"/>
    <w:rsid w:val="002C1340"/>
    <w:rsid w:val="002C2240"/>
    <w:rsid w:val="002C26B7"/>
    <w:rsid w:val="002C2922"/>
    <w:rsid w:val="002C395E"/>
    <w:rsid w:val="002C3F59"/>
    <w:rsid w:val="002C4EC3"/>
    <w:rsid w:val="002C4F55"/>
    <w:rsid w:val="002C53A0"/>
    <w:rsid w:val="002C55DA"/>
    <w:rsid w:val="002C7BCA"/>
    <w:rsid w:val="002D003F"/>
    <w:rsid w:val="002D061D"/>
    <w:rsid w:val="002D1CBB"/>
    <w:rsid w:val="002D1F0D"/>
    <w:rsid w:val="002D2601"/>
    <w:rsid w:val="002D3C45"/>
    <w:rsid w:val="002D468A"/>
    <w:rsid w:val="002D4705"/>
    <w:rsid w:val="002D49EE"/>
    <w:rsid w:val="002D545C"/>
    <w:rsid w:val="002D6514"/>
    <w:rsid w:val="002D6A89"/>
    <w:rsid w:val="002D6D53"/>
    <w:rsid w:val="002D72E5"/>
    <w:rsid w:val="002D78EE"/>
    <w:rsid w:val="002D794E"/>
    <w:rsid w:val="002E07B8"/>
    <w:rsid w:val="002E0D6C"/>
    <w:rsid w:val="002E2BAC"/>
    <w:rsid w:val="002E3573"/>
    <w:rsid w:val="002E4851"/>
    <w:rsid w:val="002E52DB"/>
    <w:rsid w:val="002E67F7"/>
    <w:rsid w:val="002E7A72"/>
    <w:rsid w:val="002F0ED0"/>
    <w:rsid w:val="002F11C8"/>
    <w:rsid w:val="002F1B10"/>
    <w:rsid w:val="002F1F0A"/>
    <w:rsid w:val="002F31D7"/>
    <w:rsid w:val="002F33F6"/>
    <w:rsid w:val="002F3B77"/>
    <w:rsid w:val="002F5D95"/>
    <w:rsid w:val="002F6929"/>
    <w:rsid w:val="002F7965"/>
    <w:rsid w:val="002F7DA2"/>
    <w:rsid w:val="00301B0F"/>
    <w:rsid w:val="00301F1A"/>
    <w:rsid w:val="00302A7B"/>
    <w:rsid w:val="003050F9"/>
    <w:rsid w:val="00306342"/>
    <w:rsid w:val="0030664B"/>
    <w:rsid w:val="003066DB"/>
    <w:rsid w:val="00306A5C"/>
    <w:rsid w:val="00307F98"/>
    <w:rsid w:val="0031060F"/>
    <w:rsid w:val="0031149F"/>
    <w:rsid w:val="003122C9"/>
    <w:rsid w:val="003128A1"/>
    <w:rsid w:val="00312C44"/>
    <w:rsid w:val="003132B5"/>
    <w:rsid w:val="00313337"/>
    <w:rsid w:val="00313633"/>
    <w:rsid w:val="003138C6"/>
    <w:rsid w:val="00315A53"/>
    <w:rsid w:val="00320692"/>
    <w:rsid w:val="003208C5"/>
    <w:rsid w:val="00321B5E"/>
    <w:rsid w:val="00323322"/>
    <w:rsid w:val="00324B58"/>
    <w:rsid w:val="00324CCC"/>
    <w:rsid w:val="00326EF5"/>
    <w:rsid w:val="00327DFF"/>
    <w:rsid w:val="003316FA"/>
    <w:rsid w:val="0033235B"/>
    <w:rsid w:val="00332956"/>
    <w:rsid w:val="00333291"/>
    <w:rsid w:val="003343F6"/>
    <w:rsid w:val="0033465C"/>
    <w:rsid w:val="00335494"/>
    <w:rsid w:val="00337735"/>
    <w:rsid w:val="00337ED3"/>
    <w:rsid w:val="003404EE"/>
    <w:rsid w:val="003424CE"/>
    <w:rsid w:val="0034331C"/>
    <w:rsid w:val="00343678"/>
    <w:rsid w:val="00343B19"/>
    <w:rsid w:val="00345701"/>
    <w:rsid w:val="0034583E"/>
    <w:rsid w:val="003459C0"/>
    <w:rsid w:val="00346B11"/>
    <w:rsid w:val="00347314"/>
    <w:rsid w:val="0034750F"/>
    <w:rsid w:val="003475AD"/>
    <w:rsid w:val="0035119D"/>
    <w:rsid w:val="00352477"/>
    <w:rsid w:val="003533CA"/>
    <w:rsid w:val="0035495B"/>
    <w:rsid w:val="00356208"/>
    <w:rsid w:val="003566D4"/>
    <w:rsid w:val="00357055"/>
    <w:rsid w:val="003573D6"/>
    <w:rsid w:val="00357944"/>
    <w:rsid w:val="00360518"/>
    <w:rsid w:val="00360917"/>
    <w:rsid w:val="0036253B"/>
    <w:rsid w:val="003634DB"/>
    <w:rsid w:val="00364034"/>
    <w:rsid w:val="00365F5E"/>
    <w:rsid w:val="003713BA"/>
    <w:rsid w:val="003713E8"/>
    <w:rsid w:val="00372E0D"/>
    <w:rsid w:val="00373C53"/>
    <w:rsid w:val="00375D38"/>
    <w:rsid w:val="0038425D"/>
    <w:rsid w:val="00385DC8"/>
    <w:rsid w:val="00385F43"/>
    <w:rsid w:val="003861D9"/>
    <w:rsid w:val="00386338"/>
    <w:rsid w:val="00386948"/>
    <w:rsid w:val="00390847"/>
    <w:rsid w:val="00390BFE"/>
    <w:rsid w:val="003913BF"/>
    <w:rsid w:val="00392E81"/>
    <w:rsid w:val="00392F24"/>
    <w:rsid w:val="00396E32"/>
    <w:rsid w:val="00397783"/>
    <w:rsid w:val="003977C1"/>
    <w:rsid w:val="00397B85"/>
    <w:rsid w:val="003A0959"/>
    <w:rsid w:val="003A1338"/>
    <w:rsid w:val="003A1954"/>
    <w:rsid w:val="003A2DFB"/>
    <w:rsid w:val="003A4187"/>
    <w:rsid w:val="003A716F"/>
    <w:rsid w:val="003B06B7"/>
    <w:rsid w:val="003B08F6"/>
    <w:rsid w:val="003B2235"/>
    <w:rsid w:val="003B430C"/>
    <w:rsid w:val="003B441E"/>
    <w:rsid w:val="003B5F3E"/>
    <w:rsid w:val="003B71F3"/>
    <w:rsid w:val="003C0671"/>
    <w:rsid w:val="003C0F8D"/>
    <w:rsid w:val="003C19AD"/>
    <w:rsid w:val="003C1AC9"/>
    <w:rsid w:val="003C599E"/>
    <w:rsid w:val="003C6593"/>
    <w:rsid w:val="003C6790"/>
    <w:rsid w:val="003C6D9E"/>
    <w:rsid w:val="003C761C"/>
    <w:rsid w:val="003C77CD"/>
    <w:rsid w:val="003C7D22"/>
    <w:rsid w:val="003D0AEF"/>
    <w:rsid w:val="003D1C86"/>
    <w:rsid w:val="003D1D1E"/>
    <w:rsid w:val="003D221E"/>
    <w:rsid w:val="003D2278"/>
    <w:rsid w:val="003D2C20"/>
    <w:rsid w:val="003D30C5"/>
    <w:rsid w:val="003D38E2"/>
    <w:rsid w:val="003D4322"/>
    <w:rsid w:val="003D4C59"/>
    <w:rsid w:val="003D4EF4"/>
    <w:rsid w:val="003D51FD"/>
    <w:rsid w:val="003D54B8"/>
    <w:rsid w:val="003D70A8"/>
    <w:rsid w:val="003D7808"/>
    <w:rsid w:val="003E0C36"/>
    <w:rsid w:val="003E2C6E"/>
    <w:rsid w:val="003E3074"/>
    <w:rsid w:val="003E3530"/>
    <w:rsid w:val="003E577A"/>
    <w:rsid w:val="003E6D65"/>
    <w:rsid w:val="003E7248"/>
    <w:rsid w:val="003E7CF6"/>
    <w:rsid w:val="003F0032"/>
    <w:rsid w:val="003F08DB"/>
    <w:rsid w:val="003F10AE"/>
    <w:rsid w:val="003F15A0"/>
    <w:rsid w:val="003F172D"/>
    <w:rsid w:val="003F27E9"/>
    <w:rsid w:val="003F342A"/>
    <w:rsid w:val="003F37AF"/>
    <w:rsid w:val="003F69B4"/>
    <w:rsid w:val="003F74FC"/>
    <w:rsid w:val="004005E9"/>
    <w:rsid w:val="00400A54"/>
    <w:rsid w:val="00402CC0"/>
    <w:rsid w:val="004037C0"/>
    <w:rsid w:val="0040441E"/>
    <w:rsid w:val="0040496C"/>
    <w:rsid w:val="00405047"/>
    <w:rsid w:val="004058FC"/>
    <w:rsid w:val="0040652F"/>
    <w:rsid w:val="004065D6"/>
    <w:rsid w:val="00407749"/>
    <w:rsid w:val="004103EF"/>
    <w:rsid w:val="00412988"/>
    <w:rsid w:val="0041542E"/>
    <w:rsid w:val="00416397"/>
    <w:rsid w:val="00416925"/>
    <w:rsid w:val="00417496"/>
    <w:rsid w:val="00417D44"/>
    <w:rsid w:val="00417DE4"/>
    <w:rsid w:val="004202CE"/>
    <w:rsid w:val="004215BB"/>
    <w:rsid w:val="0042197B"/>
    <w:rsid w:val="00422381"/>
    <w:rsid w:val="00423178"/>
    <w:rsid w:val="004244CA"/>
    <w:rsid w:val="00425B82"/>
    <w:rsid w:val="00425EE9"/>
    <w:rsid w:val="00426626"/>
    <w:rsid w:val="0042707C"/>
    <w:rsid w:val="004270DC"/>
    <w:rsid w:val="00427E12"/>
    <w:rsid w:val="004300A7"/>
    <w:rsid w:val="00430D0D"/>
    <w:rsid w:val="00430E7D"/>
    <w:rsid w:val="0043112B"/>
    <w:rsid w:val="00431BC7"/>
    <w:rsid w:val="00432FC1"/>
    <w:rsid w:val="0043300D"/>
    <w:rsid w:val="00433305"/>
    <w:rsid w:val="0043391B"/>
    <w:rsid w:val="00433F1F"/>
    <w:rsid w:val="00434728"/>
    <w:rsid w:val="00435272"/>
    <w:rsid w:val="0043741D"/>
    <w:rsid w:val="00437680"/>
    <w:rsid w:val="004376A0"/>
    <w:rsid w:val="00440653"/>
    <w:rsid w:val="004410D8"/>
    <w:rsid w:val="00441768"/>
    <w:rsid w:val="0044229E"/>
    <w:rsid w:val="00442410"/>
    <w:rsid w:val="00444DED"/>
    <w:rsid w:val="00444E8D"/>
    <w:rsid w:val="004453FF"/>
    <w:rsid w:val="00445C23"/>
    <w:rsid w:val="004501D4"/>
    <w:rsid w:val="004503E6"/>
    <w:rsid w:val="00451115"/>
    <w:rsid w:val="004526E8"/>
    <w:rsid w:val="0045283D"/>
    <w:rsid w:val="004558EF"/>
    <w:rsid w:val="00456AF6"/>
    <w:rsid w:val="00460392"/>
    <w:rsid w:val="0046040D"/>
    <w:rsid w:val="0046069A"/>
    <w:rsid w:val="00460E80"/>
    <w:rsid w:val="00461AD5"/>
    <w:rsid w:val="0046367B"/>
    <w:rsid w:val="00465B3A"/>
    <w:rsid w:val="004669B2"/>
    <w:rsid w:val="0047035C"/>
    <w:rsid w:val="00471E90"/>
    <w:rsid w:val="00472446"/>
    <w:rsid w:val="00473771"/>
    <w:rsid w:val="00473913"/>
    <w:rsid w:val="00473EF4"/>
    <w:rsid w:val="00474111"/>
    <w:rsid w:val="004744BF"/>
    <w:rsid w:val="0047497D"/>
    <w:rsid w:val="00475F4B"/>
    <w:rsid w:val="00476D39"/>
    <w:rsid w:val="00476FA8"/>
    <w:rsid w:val="00477AF2"/>
    <w:rsid w:val="0048183A"/>
    <w:rsid w:val="004826A8"/>
    <w:rsid w:val="004834A4"/>
    <w:rsid w:val="00483623"/>
    <w:rsid w:val="004857BD"/>
    <w:rsid w:val="0048599E"/>
    <w:rsid w:val="00487EC1"/>
    <w:rsid w:val="00490153"/>
    <w:rsid w:val="0049154D"/>
    <w:rsid w:val="00491E32"/>
    <w:rsid w:val="00492C71"/>
    <w:rsid w:val="00493F04"/>
    <w:rsid w:val="004947FD"/>
    <w:rsid w:val="00497D0C"/>
    <w:rsid w:val="004A0DD9"/>
    <w:rsid w:val="004A1B21"/>
    <w:rsid w:val="004A316E"/>
    <w:rsid w:val="004A3B89"/>
    <w:rsid w:val="004A40C3"/>
    <w:rsid w:val="004A6A41"/>
    <w:rsid w:val="004A7342"/>
    <w:rsid w:val="004B1E61"/>
    <w:rsid w:val="004B52EE"/>
    <w:rsid w:val="004B530E"/>
    <w:rsid w:val="004B5F6F"/>
    <w:rsid w:val="004B6508"/>
    <w:rsid w:val="004B6DBF"/>
    <w:rsid w:val="004B737A"/>
    <w:rsid w:val="004B7A00"/>
    <w:rsid w:val="004C1354"/>
    <w:rsid w:val="004C272F"/>
    <w:rsid w:val="004C3B2E"/>
    <w:rsid w:val="004C3F05"/>
    <w:rsid w:val="004C4517"/>
    <w:rsid w:val="004C4927"/>
    <w:rsid w:val="004C5777"/>
    <w:rsid w:val="004C64B8"/>
    <w:rsid w:val="004C68A6"/>
    <w:rsid w:val="004D038D"/>
    <w:rsid w:val="004D0394"/>
    <w:rsid w:val="004D092B"/>
    <w:rsid w:val="004D100A"/>
    <w:rsid w:val="004D11CD"/>
    <w:rsid w:val="004D1618"/>
    <w:rsid w:val="004D1774"/>
    <w:rsid w:val="004D19F7"/>
    <w:rsid w:val="004D47EB"/>
    <w:rsid w:val="004D4997"/>
    <w:rsid w:val="004D4E66"/>
    <w:rsid w:val="004D5CD9"/>
    <w:rsid w:val="004D7B11"/>
    <w:rsid w:val="004E269E"/>
    <w:rsid w:val="004E2C92"/>
    <w:rsid w:val="004E3264"/>
    <w:rsid w:val="004E348E"/>
    <w:rsid w:val="004E402C"/>
    <w:rsid w:val="004E48F8"/>
    <w:rsid w:val="004E58A7"/>
    <w:rsid w:val="004E5CAB"/>
    <w:rsid w:val="004F0007"/>
    <w:rsid w:val="004F0A72"/>
    <w:rsid w:val="004F0BD4"/>
    <w:rsid w:val="004F174C"/>
    <w:rsid w:val="004F20E8"/>
    <w:rsid w:val="004F4569"/>
    <w:rsid w:val="004F758A"/>
    <w:rsid w:val="005008E4"/>
    <w:rsid w:val="00501596"/>
    <w:rsid w:val="00501EF7"/>
    <w:rsid w:val="00502996"/>
    <w:rsid w:val="005037A9"/>
    <w:rsid w:val="00503A7D"/>
    <w:rsid w:val="0050431B"/>
    <w:rsid w:val="0050604E"/>
    <w:rsid w:val="005068DC"/>
    <w:rsid w:val="00510417"/>
    <w:rsid w:val="00511C61"/>
    <w:rsid w:val="00511CBA"/>
    <w:rsid w:val="00512240"/>
    <w:rsid w:val="00514C6D"/>
    <w:rsid w:val="005159B1"/>
    <w:rsid w:val="00515D07"/>
    <w:rsid w:val="005176D0"/>
    <w:rsid w:val="00517E95"/>
    <w:rsid w:val="00520956"/>
    <w:rsid w:val="0052114D"/>
    <w:rsid w:val="005212EE"/>
    <w:rsid w:val="00523C2F"/>
    <w:rsid w:val="00523C94"/>
    <w:rsid w:val="00523E1F"/>
    <w:rsid w:val="00524B01"/>
    <w:rsid w:val="005260DF"/>
    <w:rsid w:val="0052750B"/>
    <w:rsid w:val="0053003C"/>
    <w:rsid w:val="0053046C"/>
    <w:rsid w:val="00530933"/>
    <w:rsid w:val="005312DD"/>
    <w:rsid w:val="00531981"/>
    <w:rsid w:val="00532FC4"/>
    <w:rsid w:val="00533DE6"/>
    <w:rsid w:val="00534C40"/>
    <w:rsid w:val="00535048"/>
    <w:rsid w:val="005419FF"/>
    <w:rsid w:val="00541ACE"/>
    <w:rsid w:val="00543075"/>
    <w:rsid w:val="00545E06"/>
    <w:rsid w:val="005465DC"/>
    <w:rsid w:val="0054752E"/>
    <w:rsid w:val="00550EC8"/>
    <w:rsid w:val="00551A0E"/>
    <w:rsid w:val="00551EDE"/>
    <w:rsid w:val="00551FA7"/>
    <w:rsid w:val="005523BB"/>
    <w:rsid w:val="005525E1"/>
    <w:rsid w:val="0055372C"/>
    <w:rsid w:val="00555117"/>
    <w:rsid w:val="00555657"/>
    <w:rsid w:val="0055709E"/>
    <w:rsid w:val="005573EB"/>
    <w:rsid w:val="0055786F"/>
    <w:rsid w:val="0055797A"/>
    <w:rsid w:val="00557BD2"/>
    <w:rsid w:val="005609C8"/>
    <w:rsid w:val="005609EF"/>
    <w:rsid w:val="005612E4"/>
    <w:rsid w:val="005613B5"/>
    <w:rsid w:val="005651CC"/>
    <w:rsid w:val="005654F7"/>
    <w:rsid w:val="00565503"/>
    <w:rsid w:val="00565D92"/>
    <w:rsid w:val="005703F4"/>
    <w:rsid w:val="00571C65"/>
    <w:rsid w:val="00572EE9"/>
    <w:rsid w:val="005731F7"/>
    <w:rsid w:val="005762A9"/>
    <w:rsid w:val="00576485"/>
    <w:rsid w:val="00576F53"/>
    <w:rsid w:val="005776AA"/>
    <w:rsid w:val="0057793F"/>
    <w:rsid w:val="00581ABE"/>
    <w:rsid w:val="0058212E"/>
    <w:rsid w:val="005826FC"/>
    <w:rsid w:val="00584784"/>
    <w:rsid w:val="00584B54"/>
    <w:rsid w:val="0058518C"/>
    <w:rsid w:val="005869AB"/>
    <w:rsid w:val="00586C63"/>
    <w:rsid w:val="005908A9"/>
    <w:rsid w:val="00590D81"/>
    <w:rsid w:val="00591095"/>
    <w:rsid w:val="00592BF0"/>
    <w:rsid w:val="00593169"/>
    <w:rsid w:val="005932FC"/>
    <w:rsid w:val="00593469"/>
    <w:rsid w:val="00594A0F"/>
    <w:rsid w:val="00595484"/>
    <w:rsid w:val="00596243"/>
    <w:rsid w:val="00596B6D"/>
    <w:rsid w:val="00596F56"/>
    <w:rsid w:val="0059708D"/>
    <w:rsid w:val="0059783E"/>
    <w:rsid w:val="00597D84"/>
    <w:rsid w:val="00597F13"/>
    <w:rsid w:val="00597F56"/>
    <w:rsid w:val="005A0406"/>
    <w:rsid w:val="005A123F"/>
    <w:rsid w:val="005A177B"/>
    <w:rsid w:val="005A1E73"/>
    <w:rsid w:val="005A2718"/>
    <w:rsid w:val="005A2ADB"/>
    <w:rsid w:val="005A2CE8"/>
    <w:rsid w:val="005A329E"/>
    <w:rsid w:val="005A34E5"/>
    <w:rsid w:val="005A3545"/>
    <w:rsid w:val="005A565D"/>
    <w:rsid w:val="005A5E07"/>
    <w:rsid w:val="005A6103"/>
    <w:rsid w:val="005A6A63"/>
    <w:rsid w:val="005A6F6A"/>
    <w:rsid w:val="005A7297"/>
    <w:rsid w:val="005A7B0B"/>
    <w:rsid w:val="005A7FCA"/>
    <w:rsid w:val="005B0B16"/>
    <w:rsid w:val="005B2B60"/>
    <w:rsid w:val="005B37B2"/>
    <w:rsid w:val="005B3841"/>
    <w:rsid w:val="005B3A7C"/>
    <w:rsid w:val="005B3E67"/>
    <w:rsid w:val="005B525E"/>
    <w:rsid w:val="005B59CA"/>
    <w:rsid w:val="005C08CC"/>
    <w:rsid w:val="005C11A1"/>
    <w:rsid w:val="005C236D"/>
    <w:rsid w:val="005C2D61"/>
    <w:rsid w:val="005C38C0"/>
    <w:rsid w:val="005C6B87"/>
    <w:rsid w:val="005C7789"/>
    <w:rsid w:val="005D1A84"/>
    <w:rsid w:val="005D22AD"/>
    <w:rsid w:val="005D29EF"/>
    <w:rsid w:val="005D2A2D"/>
    <w:rsid w:val="005D3030"/>
    <w:rsid w:val="005D357D"/>
    <w:rsid w:val="005D3A09"/>
    <w:rsid w:val="005D5867"/>
    <w:rsid w:val="005D6C7C"/>
    <w:rsid w:val="005D6FB4"/>
    <w:rsid w:val="005D7432"/>
    <w:rsid w:val="005E14D9"/>
    <w:rsid w:val="005E1CEA"/>
    <w:rsid w:val="005E213E"/>
    <w:rsid w:val="005E39A2"/>
    <w:rsid w:val="005E3BAB"/>
    <w:rsid w:val="005E441B"/>
    <w:rsid w:val="005E4C95"/>
    <w:rsid w:val="005E4FA6"/>
    <w:rsid w:val="005E529C"/>
    <w:rsid w:val="005E5D88"/>
    <w:rsid w:val="005E5E1A"/>
    <w:rsid w:val="005E6958"/>
    <w:rsid w:val="005E6B4D"/>
    <w:rsid w:val="005E7FBC"/>
    <w:rsid w:val="005E7FFE"/>
    <w:rsid w:val="005F0175"/>
    <w:rsid w:val="005F264E"/>
    <w:rsid w:val="005F440F"/>
    <w:rsid w:val="005F4D74"/>
    <w:rsid w:val="005F7319"/>
    <w:rsid w:val="005F73A6"/>
    <w:rsid w:val="005F75DB"/>
    <w:rsid w:val="005F7A28"/>
    <w:rsid w:val="005F7D58"/>
    <w:rsid w:val="00600CE3"/>
    <w:rsid w:val="006013DB"/>
    <w:rsid w:val="00603F77"/>
    <w:rsid w:val="006045FE"/>
    <w:rsid w:val="00606D75"/>
    <w:rsid w:val="00607E7F"/>
    <w:rsid w:val="00610686"/>
    <w:rsid w:val="00612031"/>
    <w:rsid w:val="00613DC7"/>
    <w:rsid w:val="00615A1B"/>
    <w:rsid w:val="00616B0A"/>
    <w:rsid w:val="006171D7"/>
    <w:rsid w:val="00617DD1"/>
    <w:rsid w:val="00620D52"/>
    <w:rsid w:val="0062104C"/>
    <w:rsid w:val="00621735"/>
    <w:rsid w:val="00623009"/>
    <w:rsid w:val="0062313D"/>
    <w:rsid w:val="00623AFE"/>
    <w:rsid w:val="00623D29"/>
    <w:rsid w:val="00625B28"/>
    <w:rsid w:val="006268E5"/>
    <w:rsid w:val="00626BAB"/>
    <w:rsid w:val="00627B0B"/>
    <w:rsid w:val="00631072"/>
    <w:rsid w:val="006319A3"/>
    <w:rsid w:val="00634C38"/>
    <w:rsid w:val="00635982"/>
    <w:rsid w:val="006366B7"/>
    <w:rsid w:val="006375CC"/>
    <w:rsid w:val="00643908"/>
    <w:rsid w:val="0064450D"/>
    <w:rsid w:val="006453CB"/>
    <w:rsid w:val="0064678B"/>
    <w:rsid w:val="00646CFD"/>
    <w:rsid w:val="00647E07"/>
    <w:rsid w:val="00652A34"/>
    <w:rsid w:val="0065395B"/>
    <w:rsid w:val="00653E15"/>
    <w:rsid w:val="006551C5"/>
    <w:rsid w:val="006554B4"/>
    <w:rsid w:val="00656215"/>
    <w:rsid w:val="00657E39"/>
    <w:rsid w:val="006602D9"/>
    <w:rsid w:val="006606D9"/>
    <w:rsid w:val="006608E9"/>
    <w:rsid w:val="00660DA5"/>
    <w:rsid w:val="006623E2"/>
    <w:rsid w:val="006637D5"/>
    <w:rsid w:val="006640CA"/>
    <w:rsid w:val="00665F69"/>
    <w:rsid w:val="00667936"/>
    <w:rsid w:val="00670196"/>
    <w:rsid w:val="0067039C"/>
    <w:rsid w:val="0067041C"/>
    <w:rsid w:val="0067157E"/>
    <w:rsid w:val="00672459"/>
    <w:rsid w:val="00672789"/>
    <w:rsid w:val="00673CE6"/>
    <w:rsid w:val="00674AD3"/>
    <w:rsid w:val="0067578C"/>
    <w:rsid w:val="006768D9"/>
    <w:rsid w:val="006778B1"/>
    <w:rsid w:val="0068019D"/>
    <w:rsid w:val="006802B5"/>
    <w:rsid w:val="00680DC8"/>
    <w:rsid w:val="0068225D"/>
    <w:rsid w:val="0068344E"/>
    <w:rsid w:val="00683B12"/>
    <w:rsid w:val="00685426"/>
    <w:rsid w:val="006867E2"/>
    <w:rsid w:val="00686C7E"/>
    <w:rsid w:val="00691427"/>
    <w:rsid w:val="00691A61"/>
    <w:rsid w:val="00692194"/>
    <w:rsid w:val="00692D52"/>
    <w:rsid w:val="00694FDC"/>
    <w:rsid w:val="006952B7"/>
    <w:rsid w:val="00695820"/>
    <w:rsid w:val="006A0C6C"/>
    <w:rsid w:val="006A2D86"/>
    <w:rsid w:val="006A4AC4"/>
    <w:rsid w:val="006A4BCC"/>
    <w:rsid w:val="006A57AF"/>
    <w:rsid w:val="006A6CCB"/>
    <w:rsid w:val="006A6D81"/>
    <w:rsid w:val="006A79E7"/>
    <w:rsid w:val="006B0023"/>
    <w:rsid w:val="006B00AC"/>
    <w:rsid w:val="006B10E6"/>
    <w:rsid w:val="006B180D"/>
    <w:rsid w:val="006B36D5"/>
    <w:rsid w:val="006B4C7E"/>
    <w:rsid w:val="006B5F0E"/>
    <w:rsid w:val="006B5F24"/>
    <w:rsid w:val="006B724E"/>
    <w:rsid w:val="006B7B79"/>
    <w:rsid w:val="006B7FA8"/>
    <w:rsid w:val="006C0EFE"/>
    <w:rsid w:val="006C2063"/>
    <w:rsid w:val="006C2A45"/>
    <w:rsid w:val="006C5BD1"/>
    <w:rsid w:val="006C6D77"/>
    <w:rsid w:val="006C7E90"/>
    <w:rsid w:val="006D15CB"/>
    <w:rsid w:val="006D1F32"/>
    <w:rsid w:val="006D2D13"/>
    <w:rsid w:val="006D3690"/>
    <w:rsid w:val="006D4670"/>
    <w:rsid w:val="006D4BDA"/>
    <w:rsid w:val="006D4DE6"/>
    <w:rsid w:val="006D4F30"/>
    <w:rsid w:val="006D5229"/>
    <w:rsid w:val="006D56AD"/>
    <w:rsid w:val="006D5790"/>
    <w:rsid w:val="006D58C2"/>
    <w:rsid w:val="006D5FE7"/>
    <w:rsid w:val="006D64DB"/>
    <w:rsid w:val="006E0AD3"/>
    <w:rsid w:val="006E1159"/>
    <w:rsid w:val="006E1D6D"/>
    <w:rsid w:val="006E2247"/>
    <w:rsid w:val="006E2695"/>
    <w:rsid w:val="006E270B"/>
    <w:rsid w:val="006E346C"/>
    <w:rsid w:val="006E3480"/>
    <w:rsid w:val="006E407A"/>
    <w:rsid w:val="006E4D2B"/>
    <w:rsid w:val="006E5BB4"/>
    <w:rsid w:val="006E65B4"/>
    <w:rsid w:val="006E771B"/>
    <w:rsid w:val="006E7799"/>
    <w:rsid w:val="006F1079"/>
    <w:rsid w:val="006F1A6F"/>
    <w:rsid w:val="006F2AB2"/>
    <w:rsid w:val="006F398C"/>
    <w:rsid w:val="006F3CB7"/>
    <w:rsid w:val="006F3F5F"/>
    <w:rsid w:val="006F4AD9"/>
    <w:rsid w:val="006F5386"/>
    <w:rsid w:val="006F53B5"/>
    <w:rsid w:val="006F5A3E"/>
    <w:rsid w:val="006F60B7"/>
    <w:rsid w:val="006F667E"/>
    <w:rsid w:val="006F7A35"/>
    <w:rsid w:val="00700ADF"/>
    <w:rsid w:val="0070118D"/>
    <w:rsid w:val="007012F7"/>
    <w:rsid w:val="00701700"/>
    <w:rsid w:val="00701E49"/>
    <w:rsid w:val="0070223E"/>
    <w:rsid w:val="00707038"/>
    <w:rsid w:val="00710011"/>
    <w:rsid w:val="007101A6"/>
    <w:rsid w:val="00711195"/>
    <w:rsid w:val="0071304D"/>
    <w:rsid w:val="0071369D"/>
    <w:rsid w:val="00714480"/>
    <w:rsid w:val="00714754"/>
    <w:rsid w:val="00715C5E"/>
    <w:rsid w:val="00716EC1"/>
    <w:rsid w:val="0071790A"/>
    <w:rsid w:val="0072155C"/>
    <w:rsid w:val="007221E7"/>
    <w:rsid w:val="007223B7"/>
    <w:rsid w:val="007227CD"/>
    <w:rsid w:val="0072529C"/>
    <w:rsid w:val="00725448"/>
    <w:rsid w:val="00725D49"/>
    <w:rsid w:val="00727BBE"/>
    <w:rsid w:val="007300FC"/>
    <w:rsid w:val="00730A3D"/>
    <w:rsid w:val="00731725"/>
    <w:rsid w:val="007326D7"/>
    <w:rsid w:val="0073362D"/>
    <w:rsid w:val="007336F8"/>
    <w:rsid w:val="007358FC"/>
    <w:rsid w:val="00735929"/>
    <w:rsid w:val="00735FCF"/>
    <w:rsid w:val="0073730A"/>
    <w:rsid w:val="007373F3"/>
    <w:rsid w:val="00737DED"/>
    <w:rsid w:val="00740698"/>
    <w:rsid w:val="007417B9"/>
    <w:rsid w:val="00742632"/>
    <w:rsid w:val="0074309B"/>
    <w:rsid w:val="007431CF"/>
    <w:rsid w:val="00743601"/>
    <w:rsid w:val="0074564D"/>
    <w:rsid w:val="00746104"/>
    <w:rsid w:val="00747242"/>
    <w:rsid w:val="00747D92"/>
    <w:rsid w:val="007504EB"/>
    <w:rsid w:val="00750B3B"/>
    <w:rsid w:val="00751255"/>
    <w:rsid w:val="00754018"/>
    <w:rsid w:val="00754173"/>
    <w:rsid w:val="00754EA6"/>
    <w:rsid w:val="00755AAE"/>
    <w:rsid w:val="007575B4"/>
    <w:rsid w:val="00765C20"/>
    <w:rsid w:val="00766120"/>
    <w:rsid w:val="00767162"/>
    <w:rsid w:val="00770CD0"/>
    <w:rsid w:val="00770F4D"/>
    <w:rsid w:val="0077235E"/>
    <w:rsid w:val="00773ED2"/>
    <w:rsid w:val="00774CD1"/>
    <w:rsid w:val="00775E35"/>
    <w:rsid w:val="00775F56"/>
    <w:rsid w:val="00780825"/>
    <w:rsid w:val="00780CB8"/>
    <w:rsid w:val="00780F57"/>
    <w:rsid w:val="00781B79"/>
    <w:rsid w:val="0078277A"/>
    <w:rsid w:val="0078328F"/>
    <w:rsid w:val="0078338E"/>
    <w:rsid w:val="007833D5"/>
    <w:rsid w:val="007848B6"/>
    <w:rsid w:val="00786D9C"/>
    <w:rsid w:val="00787042"/>
    <w:rsid w:val="0078745D"/>
    <w:rsid w:val="00787731"/>
    <w:rsid w:val="00791FBF"/>
    <w:rsid w:val="0079290C"/>
    <w:rsid w:val="00792AD4"/>
    <w:rsid w:val="0079362A"/>
    <w:rsid w:val="00795849"/>
    <w:rsid w:val="00795DC5"/>
    <w:rsid w:val="0079610F"/>
    <w:rsid w:val="00796B4F"/>
    <w:rsid w:val="00797517"/>
    <w:rsid w:val="007975D6"/>
    <w:rsid w:val="007A010E"/>
    <w:rsid w:val="007A0A9B"/>
    <w:rsid w:val="007A1240"/>
    <w:rsid w:val="007A141C"/>
    <w:rsid w:val="007A19A6"/>
    <w:rsid w:val="007A1F62"/>
    <w:rsid w:val="007A284D"/>
    <w:rsid w:val="007A2866"/>
    <w:rsid w:val="007A28BA"/>
    <w:rsid w:val="007A2A73"/>
    <w:rsid w:val="007A35A8"/>
    <w:rsid w:val="007A3684"/>
    <w:rsid w:val="007A5E28"/>
    <w:rsid w:val="007A74C8"/>
    <w:rsid w:val="007A78CC"/>
    <w:rsid w:val="007B0AFF"/>
    <w:rsid w:val="007B0E8E"/>
    <w:rsid w:val="007B1180"/>
    <w:rsid w:val="007B1A0E"/>
    <w:rsid w:val="007B1AF8"/>
    <w:rsid w:val="007B252A"/>
    <w:rsid w:val="007B27A4"/>
    <w:rsid w:val="007B55DE"/>
    <w:rsid w:val="007B5754"/>
    <w:rsid w:val="007B5D21"/>
    <w:rsid w:val="007B6FF1"/>
    <w:rsid w:val="007B7B46"/>
    <w:rsid w:val="007C0306"/>
    <w:rsid w:val="007C12B3"/>
    <w:rsid w:val="007C1495"/>
    <w:rsid w:val="007C1B69"/>
    <w:rsid w:val="007C22E0"/>
    <w:rsid w:val="007C289A"/>
    <w:rsid w:val="007C2BB2"/>
    <w:rsid w:val="007C2F41"/>
    <w:rsid w:val="007C2FA9"/>
    <w:rsid w:val="007C3CFF"/>
    <w:rsid w:val="007C3E2F"/>
    <w:rsid w:val="007C6084"/>
    <w:rsid w:val="007D1530"/>
    <w:rsid w:val="007D1BC9"/>
    <w:rsid w:val="007D330C"/>
    <w:rsid w:val="007D48C5"/>
    <w:rsid w:val="007D4EC2"/>
    <w:rsid w:val="007D630D"/>
    <w:rsid w:val="007D66E6"/>
    <w:rsid w:val="007D69C9"/>
    <w:rsid w:val="007D6F93"/>
    <w:rsid w:val="007D706E"/>
    <w:rsid w:val="007D70A4"/>
    <w:rsid w:val="007D790F"/>
    <w:rsid w:val="007E0052"/>
    <w:rsid w:val="007E0243"/>
    <w:rsid w:val="007E133D"/>
    <w:rsid w:val="007E1653"/>
    <w:rsid w:val="007E1DA3"/>
    <w:rsid w:val="007E2A02"/>
    <w:rsid w:val="007E367A"/>
    <w:rsid w:val="007E3F29"/>
    <w:rsid w:val="007E66E2"/>
    <w:rsid w:val="007E6E1A"/>
    <w:rsid w:val="007E6E2A"/>
    <w:rsid w:val="007F020A"/>
    <w:rsid w:val="007F140A"/>
    <w:rsid w:val="007F190F"/>
    <w:rsid w:val="007F1B7A"/>
    <w:rsid w:val="007F1CDD"/>
    <w:rsid w:val="007F26A9"/>
    <w:rsid w:val="007F29E6"/>
    <w:rsid w:val="007F5EBA"/>
    <w:rsid w:val="007F7A77"/>
    <w:rsid w:val="00800128"/>
    <w:rsid w:val="00800F57"/>
    <w:rsid w:val="0080165E"/>
    <w:rsid w:val="0080277D"/>
    <w:rsid w:val="00803385"/>
    <w:rsid w:val="00803989"/>
    <w:rsid w:val="008043FE"/>
    <w:rsid w:val="00804E31"/>
    <w:rsid w:val="00804EF0"/>
    <w:rsid w:val="008052FD"/>
    <w:rsid w:val="00805602"/>
    <w:rsid w:val="008062D9"/>
    <w:rsid w:val="0080700B"/>
    <w:rsid w:val="00807856"/>
    <w:rsid w:val="00807A00"/>
    <w:rsid w:val="00807F36"/>
    <w:rsid w:val="008131A4"/>
    <w:rsid w:val="008152E2"/>
    <w:rsid w:val="00815398"/>
    <w:rsid w:val="00815618"/>
    <w:rsid w:val="0081743B"/>
    <w:rsid w:val="00821105"/>
    <w:rsid w:val="008229BB"/>
    <w:rsid w:val="008238F3"/>
    <w:rsid w:val="008239F2"/>
    <w:rsid w:val="00824331"/>
    <w:rsid w:val="008250A5"/>
    <w:rsid w:val="00825EBD"/>
    <w:rsid w:val="00826588"/>
    <w:rsid w:val="00826645"/>
    <w:rsid w:val="00827160"/>
    <w:rsid w:val="00830057"/>
    <w:rsid w:val="00831640"/>
    <w:rsid w:val="008317E8"/>
    <w:rsid w:val="00831AF6"/>
    <w:rsid w:val="00832189"/>
    <w:rsid w:val="008334F4"/>
    <w:rsid w:val="008341E6"/>
    <w:rsid w:val="00834420"/>
    <w:rsid w:val="008349E2"/>
    <w:rsid w:val="00835531"/>
    <w:rsid w:val="0083561B"/>
    <w:rsid w:val="00836384"/>
    <w:rsid w:val="008364AC"/>
    <w:rsid w:val="00840DC0"/>
    <w:rsid w:val="00841A67"/>
    <w:rsid w:val="00841DBC"/>
    <w:rsid w:val="00842545"/>
    <w:rsid w:val="00842A99"/>
    <w:rsid w:val="0084351F"/>
    <w:rsid w:val="00843F39"/>
    <w:rsid w:val="00844CF7"/>
    <w:rsid w:val="00844D93"/>
    <w:rsid w:val="00844DC4"/>
    <w:rsid w:val="008453ED"/>
    <w:rsid w:val="00845CFF"/>
    <w:rsid w:val="0084652F"/>
    <w:rsid w:val="008474FE"/>
    <w:rsid w:val="00847700"/>
    <w:rsid w:val="008502B1"/>
    <w:rsid w:val="00850576"/>
    <w:rsid w:val="00850DAD"/>
    <w:rsid w:val="00851D1B"/>
    <w:rsid w:val="00855B3C"/>
    <w:rsid w:val="008561B8"/>
    <w:rsid w:val="00856631"/>
    <w:rsid w:val="00857015"/>
    <w:rsid w:val="00862BB5"/>
    <w:rsid w:val="00862D5A"/>
    <w:rsid w:val="0086381D"/>
    <w:rsid w:val="00863FE6"/>
    <w:rsid w:val="00864850"/>
    <w:rsid w:val="00864B1B"/>
    <w:rsid w:val="00865053"/>
    <w:rsid w:val="00865992"/>
    <w:rsid w:val="0086632A"/>
    <w:rsid w:val="00866977"/>
    <w:rsid w:val="00866A0F"/>
    <w:rsid w:val="00866C3D"/>
    <w:rsid w:val="00867A25"/>
    <w:rsid w:val="008739A0"/>
    <w:rsid w:val="00873C2F"/>
    <w:rsid w:val="00874A2C"/>
    <w:rsid w:val="00874D04"/>
    <w:rsid w:val="00875554"/>
    <w:rsid w:val="00876D15"/>
    <w:rsid w:val="00876D50"/>
    <w:rsid w:val="00880FE7"/>
    <w:rsid w:val="00881A1C"/>
    <w:rsid w:val="00881C2B"/>
    <w:rsid w:val="008836E9"/>
    <w:rsid w:val="0088387A"/>
    <w:rsid w:val="00883A1E"/>
    <w:rsid w:val="00883EFC"/>
    <w:rsid w:val="00884AC8"/>
    <w:rsid w:val="00885DAD"/>
    <w:rsid w:val="0089008F"/>
    <w:rsid w:val="00890541"/>
    <w:rsid w:val="0089284C"/>
    <w:rsid w:val="008936A5"/>
    <w:rsid w:val="00895926"/>
    <w:rsid w:val="00895950"/>
    <w:rsid w:val="00896D6D"/>
    <w:rsid w:val="00897254"/>
    <w:rsid w:val="00897421"/>
    <w:rsid w:val="00897794"/>
    <w:rsid w:val="008A1582"/>
    <w:rsid w:val="008A27F7"/>
    <w:rsid w:val="008A3949"/>
    <w:rsid w:val="008A4133"/>
    <w:rsid w:val="008A46E7"/>
    <w:rsid w:val="008A494A"/>
    <w:rsid w:val="008A4DBF"/>
    <w:rsid w:val="008A5EC9"/>
    <w:rsid w:val="008A67FC"/>
    <w:rsid w:val="008A6BD9"/>
    <w:rsid w:val="008B052F"/>
    <w:rsid w:val="008B0EE5"/>
    <w:rsid w:val="008B17C8"/>
    <w:rsid w:val="008B189C"/>
    <w:rsid w:val="008B402A"/>
    <w:rsid w:val="008B4506"/>
    <w:rsid w:val="008B4ACF"/>
    <w:rsid w:val="008B4DAD"/>
    <w:rsid w:val="008B5FB4"/>
    <w:rsid w:val="008B6CF4"/>
    <w:rsid w:val="008B7554"/>
    <w:rsid w:val="008C01DD"/>
    <w:rsid w:val="008C1674"/>
    <w:rsid w:val="008C18D9"/>
    <w:rsid w:val="008C1936"/>
    <w:rsid w:val="008C1C06"/>
    <w:rsid w:val="008C2A8F"/>
    <w:rsid w:val="008C37A9"/>
    <w:rsid w:val="008C4E2C"/>
    <w:rsid w:val="008C5BC5"/>
    <w:rsid w:val="008C5E53"/>
    <w:rsid w:val="008C68FF"/>
    <w:rsid w:val="008C713B"/>
    <w:rsid w:val="008C7D02"/>
    <w:rsid w:val="008D0998"/>
    <w:rsid w:val="008D1A76"/>
    <w:rsid w:val="008D1A8E"/>
    <w:rsid w:val="008D284E"/>
    <w:rsid w:val="008D2BC6"/>
    <w:rsid w:val="008D2DAD"/>
    <w:rsid w:val="008D3737"/>
    <w:rsid w:val="008D3A2B"/>
    <w:rsid w:val="008D3A93"/>
    <w:rsid w:val="008D3B76"/>
    <w:rsid w:val="008D52C9"/>
    <w:rsid w:val="008D66CB"/>
    <w:rsid w:val="008D72D8"/>
    <w:rsid w:val="008D757C"/>
    <w:rsid w:val="008E1433"/>
    <w:rsid w:val="008E1889"/>
    <w:rsid w:val="008E214F"/>
    <w:rsid w:val="008E222F"/>
    <w:rsid w:val="008E2714"/>
    <w:rsid w:val="008E3327"/>
    <w:rsid w:val="008E3F9D"/>
    <w:rsid w:val="008E6B5A"/>
    <w:rsid w:val="008E6D5A"/>
    <w:rsid w:val="008F1C3C"/>
    <w:rsid w:val="008F1E12"/>
    <w:rsid w:val="008F2E28"/>
    <w:rsid w:val="008F3760"/>
    <w:rsid w:val="008F56BB"/>
    <w:rsid w:val="008F5834"/>
    <w:rsid w:val="008F595B"/>
    <w:rsid w:val="00901471"/>
    <w:rsid w:val="00902837"/>
    <w:rsid w:val="009039B6"/>
    <w:rsid w:val="00903E75"/>
    <w:rsid w:val="009059C7"/>
    <w:rsid w:val="00905FDE"/>
    <w:rsid w:val="00906674"/>
    <w:rsid w:val="0091180D"/>
    <w:rsid w:val="00911C44"/>
    <w:rsid w:val="009128A5"/>
    <w:rsid w:val="00912F3F"/>
    <w:rsid w:val="00912F90"/>
    <w:rsid w:val="00913105"/>
    <w:rsid w:val="00913598"/>
    <w:rsid w:val="00913B3E"/>
    <w:rsid w:val="00913F49"/>
    <w:rsid w:val="0091541B"/>
    <w:rsid w:val="00915EB3"/>
    <w:rsid w:val="009168DD"/>
    <w:rsid w:val="009172D2"/>
    <w:rsid w:val="00917681"/>
    <w:rsid w:val="00917BA3"/>
    <w:rsid w:val="00921454"/>
    <w:rsid w:val="0092163C"/>
    <w:rsid w:val="00921A5F"/>
    <w:rsid w:val="00921DDE"/>
    <w:rsid w:val="00922080"/>
    <w:rsid w:val="00923A29"/>
    <w:rsid w:val="00923BD4"/>
    <w:rsid w:val="00923F93"/>
    <w:rsid w:val="009257C5"/>
    <w:rsid w:val="00927B9C"/>
    <w:rsid w:val="00930587"/>
    <w:rsid w:val="0093062F"/>
    <w:rsid w:val="00931691"/>
    <w:rsid w:val="00931824"/>
    <w:rsid w:val="00931BE7"/>
    <w:rsid w:val="00931EB2"/>
    <w:rsid w:val="009321C3"/>
    <w:rsid w:val="00932A2F"/>
    <w:rsid w:val="00933BEB"/>
    <w:rsid w:val="00933C89"/>
    <w:rsid w:val="00934028"/>
    <w:rsid w:val="00934318"/>
    <w:rsid w:val="00934B3F"/>
    <w:rsid w:val="00934FF4"/>
    <w:rsid w:val="009368AC"/>
    <w:rsid w:val="0093744B"/>
    <w:rsid w:val="009374D8"/>
    <w:rsid w:val="0094073A"/>
    <w:rsid w:val="009435EC"/>
    <w:rsid w:val="00943EB6"/>
    <w:rsid w:val="00943EBE"/>
    <w:rsid w:val="0094412E"/>
    <w:rsid w:val="009441C3"/>
    <w:rsid w:val="00945547"/>
    <w:rsid w:val="00946DB1"/>
    <w:rsid w:val="00947389"/>
    <w:rsid w:val="009479B1"/>
    <w:rsid w:val="0095090D"/>
    <w:rsid w:val="0095292A"/>
    <w:rsid w:val="00952CEE"/>
    <w:rsid w:val="00953254"/>
    <w:rsid w:val="00954B3E"/>
    <w:rsid w:val="00954F1A"/>
    <w:rsid w:val="00954F90"/>
    <w:rsid w:val="00955DC5"/>
    <w:rsid w:val="0095620B"/>
    <w:rsid w:val="009564BA"/>
    <w:rsid w:val="009566BB"/>
    <w:rsid w:val="0095686F"/>
    <w:rsid w:val="00957420"/>
    <w:rsid w:val="00957CB0"/>
    <w:rsid w:val="0096061E"/>
    <w:rsid w:val="00961330"/>
    <w:rsid w:val="00961F90"/>
    <w:rsid w:val="00962019"/>
    <w:rsid w:val="009644C1"/>
    <w:rsid w:val="009650DE"/>
    <w:rsid w:val="00965390"/>
    <w:rsid w:val="0096576B"/>
    <w:rsid w:val="009664AA"/>
    <w:rsid w:val="0096667F"/>
    <w:rsid w:val="00967381"/>
    <w:rsid w:val="009709CB"/>
    <w:rsid w:val="0097186C"/>
    <w:rsid w:val="0097278A"/>
    <w:rsid w:val="00973838"/>
    <w:rsid w:val="00974C39"/>
    <w:rsid w:val="00974E10"/>
    <w:rsid w:val="00975B59"/>
    <w:rsid w:val="00975CF9"/>
    <w:rsid w:val="00976FAD"/>
    <w:rsid w:val="00977051"/>
    <w:rsid w:val="00980451"/>
    <w:rsid w:val="00980593"/>
    <w:rsid w:val="00981BA7"/>
    <w:rsid w:val="00981ED0"/>
    <w:rsid w:val="00985758"/>
    <w:rsid w:val="009857D0"/>
    <w:rsid w:val="00985A9F"/>
    <w:rsid w:val="00985C4C"/>
    <w:rsid w:val="00985CAB"/>
    <w:rsid w:val="00985F7D"/>
    <w:rsid w:val="00986F5C"/>
    <w:rsid w:val="0099001D"/>
    <w:rsid w:val="00992072"/>
    <w:rsid w:val="009926C4"/>
    <w:rsid w:val="0099317E"/>
    <w:rsid w:val="0099449C"/>
    <w:rsid w:val="00994F71"/>
    <w:rsid w:val="00995026"/>
    <w:rsid w:val="00995065"/>
    <w:rsid w:val="0099582D"/>
    <w:rsid w:val="00996027"/>
    <w:rsid w:val="009975BD"/>
    <w:rsid w:val="009976BB"/>
    <w:rsid w:val="009A01F2"/>
    <w:rsid w:val="009A19AA"/>
    <w:rsid w:val="009A3DC8"/>
    <w:rsid w:val="009A3E57"/>
    <w:rsid w:val="009A3E98"/>
    <w:rsid w:val="009A5F01"/>
    <w:rsid w:val="009A79F2"/>
    <w:rsid w:val="009B00EF"/>
    <w:rsid w:val="009B111D"/>
    <w:rsid w:val="009B165C"/>
    <w:rsid w:val="009B2A20"/>
    <w:rsid w:val="009B2DDD"/>
    <w:rsid w:val="009B369F"/>
    <w:rsid w:val="009B5A23"/>
    <w:rsid w:val="009B6621"/>
    <w:rsid w:val="009B74FD"/>
    <w:rsid w:val="009C332D"/>
    <w:rsid w:val="009C6BDE"/>
    <w:rsid w:val="009C6C97"/>
    <w:rsid w:val="009C6D2B"/>
    <w:rsid w:val="009C7471"/>
    <w:rsid w:val="009C7742"/>
    <w:rsid w:val="009D2594"/>
    <w:rsid w:val="009D7331"/>
    <w:rsid w:val="009D7757"/>
    <w:rsid w:val="009D7AD0"/>
    <w:rsid w:val="009E046A"/>
    <w:rsid w:val="009E2094"/>
    <w:rsid w:val="009E2A80"/>
    <w:rsid w:val="009E3240"/>
    <w:rsid w:val="009E3D26"/>
    <w:rsid w:val="009E4409"/>
    <w:rsid w:val="009E596E"/>
    <w:rsid w:val="009E7A2C"/>
    <w:rsid w:val="009E7DE3"/>
    <w:rsid w:val="009F1399"/>
    <w:rsid w:val="009F1E12"/>
    <w:rsid w:val="009F20C7"/>
    <w:rsid w:val="009F32AA"/>
    <w:rsid w:val="009F36F9"/>
    <w:rsid w:val="009F3B7A"/>
    <w:rsid w:val="009F4871"/>
    <w:rsid w:val="009F4E07"/>
    <w:rsid w:val="009F60EF"/>
    <w:rsid w:val="009F7FEF"/>
    <w:rsid w:val="00A006C9"/>
    <w:rsid w:val="00A0092E"/>
    <w:rsid w:val="00A027A5"/>
    <w:rsid w:val="00A03197"/>
    <w:rsid w:val="00A0385C"/>
    <w:rsid w:val="00A04C8F"/>
    <w:rsid w:val="00A06FBD"/>
    <w:rsid w:val="00A07A9D"/>
    <w:rsid w:val="00A10B43"/>
    <w:rsid w:val="00A12B19"/>
    <w:rsid w:val="00A13553"/>
    <w:rsid w:val="00A143A6"/>
    <w:rsid w:val="00A15152"/>
    <w:rsid w:val="00A158CE"/>
    <w:rsid w:val="00A1679E"/>
    <w:rsid w:val="00A169F7"/>
    <w:rsid w:val="00A20AB2"/>
    <w:rsid w:val="00A21005"/>
    <w:rsid w:val="00A21325"/>
    <w:rsid w:val="00A223FE"/>
    <w:rsid w:val="00A22BC1"/>
    <w:rsid w:val="00A23121"/>
    <w:rsid w:val="00A24F77"/>
    <w:rsid w:val="00A25E9B"/>
    <w:rsid w:val="00A269B1"/>
    <w:rsid w:val="00A302A2"/>
    <w:rsid w:val="00A302F5"/>
    <w:rsid w:val="00A31206"/>
    <w:rsid w:val="00A317F7"/>
    <w:rsid w:val="00A32238"/>
    <w:rsid w:val="00A325FC"/>
    <w:rsid w:val="00A3547E"/>
    <w:rsid w:val="00A35D9E"/>
    <w:rsid w:val="00A3628E"/>
    <w:rsid w:val="00A36B76"/>
    <w:rsid w:val="00A37E93"/>
    <w:rsid w:val="00A4031D"/>
    <w:rsid w:val="00A40A05"/>
    <w:rsid w:val="00A41E26"/>
    <w:rsid w:val="00A421A6"/>
    <w:rsid w:val="00A421E4"/>
    <w:rsid w:val="00A42A20"/>
    <w:rsid w:val="00A42B1F"/>
    <w:rsid w:val="00A438BF"/>
    <w:rsid w:val="00A44ED3"/>
    <w:rsid w:val="00A51E62"/>
    <w:rsid w:val="00A545AD"/>
    <w:rsid w:val="00A55821"/>
    <w:rsid w:val="00A56BC2"/>
    <w:rsid w:val="00A6097B"/>
    <w:rsid w:val="00A60B7D"/>
    <w:rsid w:val="00A622C5"/>
    <w:rsid w:val="00A624E8"/>
    <w:rsid w:val="00A636EA"/>
    <w:rsid w:val="00A63A20"/>
    <w:rsid w:val="00A647CB"/>
    <w:rsid w:val="00A64B15"/>
    <w:rsid w:val="00A6589E"/>
    <w:rsid w:val="00A669CB"/>
    <w:rsid w:val="00A70022"/>
    <w:rsid w:val="00A70C68"/>
    <w:rsid w:val="00A71323"/>
    <w:rsid w:val="00A719C1"/>
    <w:rsid w:val="00A72895"/>
    <w:rsid w:val="00A729BE"/>
    <w:rsid w:val="00A73227"/>
    <w:rsid w:val="00A73B4C"/>
    <w:rsid w:val="00A73C3B"/>
    <w:rsid w:val="00A745AF"/>
    <w:rsid w:val="00A74939"/>
    <w:rsid w:val="00A76509"/>
    <w:rsid w:val="00A765C6"/>
    <w:rsid w:val="00A7688C"/>
    <w:rsid w:val="00A7731C"/>
    <w:rsid w:val="00A773FE"/>
    <w:rsid w:val="00A813B0"/>
    <w:rsid w:val="00A81C27"/>
    <w:rsid w:val="00A8264C"/>
    <w:rsid w:val="00A82FC0"/>
    <w:rsid w:val="00A837EF"/>
    <w:rsid w:val="00A83C7D"/>
    <w:rsid w:val="00A869EE"/>
    <w:rsid w:val="00A86E98"/>
    <w:rsid w:val="00A90B88"/>
    <w:rsid w:val="00A92960"/>
    <w:rsid w:val="00A94D29"/>
    <w:rsid w:val="00A95D09"/>
    <w:rsid w:val="00A96355"/>
    <w:rsid w:val="00A96F73"/>
    <w:rsid w:val="00AA010F"/>
    <w:rsid w:val="00AA0A18"/>
    <w:rsid w:val="00AA29AE"/>
    <w:rsid w:val="00AA32FC"/>
    <w:rsid w:val="00AA36E2"/>
    <w:rsid w:val="00AB0827"/>
    <w:rsid w:val="00AB095D"/>
    <w:rsid w:val="00AB0E9E"/>
    <w:rsid w:val="00AB1B07"/>
    <w:rsid w:val="00AB2609"/>
    <w:rsid w:val="00AB34EF"/>
    <w:rsid w:val="00AB38DB"/>
    <w:rsid w:val="00AB49F3"/>
    <w:rsid w:val="00AB5209"/>
    <w:rsid w:val="00AB521A"/>
    <w:rsid w:val="00AB55B2"/>
    <w:rsid w:val="00AB5CA2"/>
    <w:rsid w:val="00AB7120"/>
    <w:rsid w:val="00AB7593"/>
    <w:rsid w:val="00AC015E"/>
    <w:rsid w:val="00AC0512"/>
    <w:rsid w:val="00AC38CB"/>
    <w:rsid w:val="00AC4BA4"/>
    <w:rsid w:val="00AC5433"/>
    <w:rsid w:val="00AC543E"/>
    <w:rsid w:val="00AC5AFD"/>
    <w:rsid w:val="00AC669F"/>
    <w:rsid w:val="00AC6F4E"/>
    <w:rsid w:val="00AC71EE"/>
    <w:rsid w:val="00AC7794"/>
    <w:rsid w:val="00AD064B"/>
    <w:rsid w:val="00AD0881"/>
    <w:rsid w:val="00AD0B56"/>
    <w:rsid w:val="00AD10B6"/>
    <w:rsid w:val="00AD3235"/>
    <w:rsid w:val="00AD49B1"/>
    <w:rsid w:val="00AD5A1C"/>
    <w:rsid w:val="00AD7840"/>
    <w:rsid w:val="00AE06DA"/>
    <w:rsid w:val="00AE20BF"/>
    <w:rsid w:val="00AE239A"/>
    <w:rsid w:val="00AE3328"/>
    <w:rsid w:val="00AE4A75"/>
    <w:rsid w:val="00AE6D0F"/>
    <w:rsid w:val="00AE737E"/>
    <w:rsid w:val="00AE7635"/>
    <w:rsid w:val="00AE775B"/>
    <w:rsid w:val="00AE7843"/>
    <w:rsid w:val="00AE7ECA"/>
    <w:rsid w:val="00AF0A40"/>
    <w:rsid w:val="00AF0AFE"/>
    <w:rsid w:val="00AF10CB"/>
    <w:rsid w:val="00AF1C31"/>
    <w:rsid w:val="00AF2974"/>
    <w:rsid w:val="00AF2FAF"/>
    <w:rsid w:val="00AF3773"/>
    <w:rsid w:val="00AF4185"/>
    <w:rsid w:val="00AF4C00"/>
    <w:rsid w:val="00AF5EB0"/>
    <w:rsid w:val="00B002D7"/>
    <w:rsid w:val="00B00C7A"/>
    <w:rsid w:val="00B01A78"/>
    <w:rsid w:val="00B01EA2"/>
    <w:rsid w:val="00B026AC"/>
    <w:rsid w:val="00B02D03"/>
    <w:rsid w:val="00B03D6F"/>
    <w:rsid w:val="00B040E8"/>
    <w:rsid w:val="00B04566"/>
    <w:rsid w:val="00B0617C"/>
    <w:rsid w:val="00B07098"/>
    <w:rsid w:val="00B07232"/>
    <w:rsid w:val="00B0743B"/>
    <w:rsid w:val="00B10E9D"/>
    <w:rsid w:val="00B1126A"/>
    <w:rsid w:val="00B11438"/>
    <w:rsid w:val="00B114F9"/>
    <w:rsid w:val="00B11795"/>
    <w:rsid w:val="00B122AB"/>
    <w:rsid w:val="00B12B1D"/>
    <w:rsid w:val="00B12F85"/>
    <w:rsid w:val="00B14E18"/>
    <w:rsid w:val="00B151E8"/>
    <w:rsid w:val="00B15F95"/>
    <w:rsid w:val="00B16079"/>
    <w:rsid w:val="00B16625"/>
    <w:rsid w:val="00B168FB"/>
    <w:rsid w:val="00B17F7E"/>
    <w:rsid w:val="00B21717"/>
    <w:rsid w:val="00B21CB1"/>
    <w:rsid w:val="00B21CFB"/>
    <w:rsid w:val="00B21F15"/>
    <w:rsid w:val="00B21F55"/>
    <w:rsid w:val="00B22C99"/>
    <w:rsid w:val="00B24B73"/>
    <w:rsid w:val="00B2500D"/>
    <w:rsid w:val="00B257E4"/>
    <w:rsid w:val="00B25E9A"/>
    <w:rsid w:val="00B30D6B"/>
    <w:rsid w:val="00B32A53"/>
    <w:rsid w:val="00B334C6"/>
    <w:rsid w:val="00B35458"/>
    <w:rsid w:val="00B35977"/>
    <w:rsid w:val="00B35A15"/>
    <w:rsid w:val="00B35E4D"/>
    <w:rsid w:val="00B37469"/>
    <w:rsid w:val="00B379D2"/>
    <w:rsid w:val="00B37D14"/>
    <w:rsid w:val="00B40CEA"/>
    <w:rsid w:val="00B414DD"/>
    <w:rsid w:val="00B4215A"/>
    <w:rsid w:val="00B4263C"/>
    <w:rsid w:val="00B42FB7"/>
    <w:rsid w:val="00B43531"/>
    <w:rsid w:val="00B45E84"/>
    <w:rsid w:val="00B46BFC"/>
    <w:rsid w:val="00B5183D"/>
    <w:rsid w:val="00B52728"/>
    <w:rsid w:val="00B52AF0"/>
    <w:rsid w:val="00B5314C"/>
    <w:rsid w:val="00B57353"/>
    <w:rsid w:val="00B60459"/>
    <w:rsid w:val="00B60FDC"/>
    <w:rsid w:val="00B61A74"/>
    <w:rsid w:val="00B61F13"/>
    <w:rsid w:val="00B620D3"/>
    <w:rsid w:val="00B6330B"/>
    <w:rsid w:val="00B63E3F"/>
    <w:rsid w:val="00B63EBE"/>
    <w:rsid w:val="00B65F07"/>
    <w:rsid w:val="00B66C36"/>
    <w:rsid w:val="00B70418"/>
    <w:rsid w:val="00B710C1"/>
    <w:rsid w:val="00B71155"/>
    <w:rsid w:val="00B71FB3"/>
    <w:rsid w:val="00B724B6"/>
    <w:rsid w:val="00B72AA5"/>
    <w:rsid w:val="00B735C4"/>
    <w:rsid w:val="00B748FF"/>
    <w:rsid w:val="00B75079"/>
    <w:rsid w:val="00B752F8"/>
    <w:rsid w:val="00B75E5D"/>
    <w:rsid w:val="00B76168"/>
    <w:rsid w:val="00B7629F"/>
    <w:rsid w:val="00B81508"/>
    <w:rsid w:val="00B81B30"/>
    <w:rsid w:val="00B822F7"/>
    <w:rsid w:val="00B830A9"/>
    <w:rsid w:val="00B83B47"/>
    <w:rsid w:val="00B84B9B"/>
    <w:rsid w:val="00B856A9"/>
    <w:rsid w:val="00B85B44"/>
    <w:rsid w:val="00B909B3"/>
    <w:rsid w:val="00B90F13"/>
    <w:rsid w:val="00B910C9"/>
    <w:rsid w:val="00B9158B"/>
    <w:rsid w:val="00B91F7F"/>
    <w:rsid w:val="00B9366A"/>
    <w:rsid w:val="00B94DCB"/>
    <w:rsid w:val="00B954CF"/>
    <w:rsid w:val="00B9575D"/>
    <w:rsid w:val="00B95B53"/>
    <w:rsid w:val="00B95CB4"/>
    <w:rsid w:val="00B961D7"/>
    <w:rsid w:val="00B96B2C"/>
    <w:rsid w:val="00BA0D74"/>
    <w:rsid w:val="00BA4830"/>
    <w:rsid w:val="00BA60AE"/>
    <w:rsid w:val="00BA62C8"/>
    <w:rsid w:val="00BA6C7E"/>
    <w:rsid w:val="00BA7A51"/>
    <w:rsid w:val="00BB0C71"/>
    <w:rsid w:val="00BB2430"/>
    <w:rsid w:val="00BB299A"/>
    <w:rsid w:val="00BB3191"/>
    <w:rsid w:val="00BB3BCE"/>
    <w:rsid w:val="00BB6E13"/>
    <w:rsid w:val="00BB7B12"/>
    <w:rsid w:val="00BB7DA1"/>
    <w:rsid w:val="00BC0117"/>
    <w:rsid w:val="00BC0CA6"/>
    <w:rsid w:val="00BC0E0D"/>
    <w:rsid w:val="00BC1528"/>
    <w:rsid w:val="00BC1751"/>
    <w:rsid w:val="00BC1960"/>
    <w:rsid w:val="00BC2280"/>
    <w:rsid w:val="00BC34E5"/>
    <w:rsid w:val="00BC3BA7"/>
    <w:rsid w:val="00BC51B5"/>
    <w:rsid w:val="00BC735C"/>
    <w:rsid w:val="00BD1101"/>
    <w:rsid w:val="00BD134C"/>
    <w:rsid w:val="00BD178E"/>
    <w:rsid w:val="00BD35F9"/>
    <w:rsid w:val="00BD392A"/>
    <w:rsid w:val="00BD50B0"/>
    <w:rsid w:val="00BD54D5"/>
    <w:rsid w:val="00BD58C2"/>
    <w:rsid w:val="00BD7D29"/>
    <w:rsid w:val="00BE0158"/>
    <w:rsid w:val="00BE0CB0"/>
    <w:rsid w:val="00BE1414"/>
    <w:rsid w:val="00BE3AFB"/>
    <w:rsid w:val="00BE3F23"/>
    <w:rsid w:val="00BE5037"/>
    <w:rsid w:val="00BE6FBC"/>
    <w:rsid w:val="00BE7867"/>
    <w:rsid w:val="00BE78C6"/>
    <w:rsid w:val="00BE7ABB"/>
    <w:rsid w:val="00BF17E9"/>
    <w:rsid w:val="00BF3579"/>
    <w:rsid w:val="00BF58DD"/>
    <w:rsid w:val="00BF66F3"/>
    <w:rsid w:val="00BF76A9"/>
    <w:rsid w:val="00C002FF"/>
    <w:rsid w:val="00C00CFC"/>
    <w:rsid w:val="00C01A5F"/>
    <w:rsid w:val="00C01BE8"/>
    <w:rsid w:val="00C0286E"/>
    <w:rsid w:val="00C02A62"/>
    <w:rsid w:val="00C035A5"/>
    <w:rsid w:val="00C0451B"/>
    <w:rsid w:val="00C05099"/>
    <w:rsid w:val="00C0549D"/>
    <w:rsid w:val="00C0610F"/>
    <w:rsid w:val="00C06222"/>
    <w:rsid w:val="00C06248"/>
    <w:rsid w:val="00C0708C"/>
    <w:rsid w:val="00C071A1"/>
    <w:rsid w:val="00C10EB2"/>
    <w:rsid w:val="00C12AA9"/>
    <w:rsid w:val="00C139C3"/>
    <w:rsid w:val="00C150CA"/>
    <w:rsid w:val="00C15195"/>
    <w:rsid w:val="00C153C0"/>
    <w:rsid w:val="00C15A29"/>
    <w:rsid w:val="00C17881"/>
    <w:rsid w:val="00C20516"/>
    <w:rsid w:val="00C20665"/>
    <w:rsid w:val="00C20C81"/>
    <w:rsid w:val="00C2160D"/>
    <w:rsid w:val="00C22A5C"/>
    <w:rsid w:val="00C233F2"/>
    <w:rsid w:val="00C25D35"/>
    <w:rsid w:val="00C2699A"/>
    <w:rsid w:val="00C27692"/>
    <w:rsid w:val="00C277B6"/>
    <w:rsid w:val="00C27C1F"/>
    <w:rsid w:val="00C30688"/>
    <w:rsid w:val="00C30950"/>
    <w:rsid w:val="00C31579"/>
    <w:rsid w:val="00C31884"/>
    <w:rsid w:val="00C3284F"/>
    <w:rsid w:val="00C32E80"/>
    <w:rsid w:val="00C33CEB"/>
    <w:rsid w:val="00C35053"/>
    <w:rsid w:val="00C350FF"/>
    <w:rsid w:val="00C3598B"/>
    <w:rsid w:val="00C359D6"/>
    <w:rsid w:val="00C36429"/>
    <w:rsid w:val="00C36734"/>
    <w:rsid w:val="00C367D8"/>
    <w:rsid w:val="00C37A0A"/>
    <w:rsid w:val="00C401BC"/>
    <w:rsid w:val="00C40445"/>
    <w:rsid w:val="00C43BD6"/>
    <w:rsid w:val="00C43D81"/>
    <w:rsid w:val="00C453B4"/>
    <w:rsid w:val="00C45E9C"/>
    <w:rsid w:val="00C4642C"/>
    <w:rsid w:val="00C467FE"/>
    <w:rsid w:val="00C50209"/>
    <w:rsid w:val="00C50D15"/>
    <w:rsid w:val="00C52313"/>
    <w:rsid w:val="00C52864"/>
    <w:rsid w:val="00C52B27"/>
    <w:rsid w:val="00C5304B"/>
    <w:rsid w:val="00C53A98"/>
    <w:rsid w:val="00C53B18"/>
    <w:rsid w:val="00C54694"/>
    <w:rsid w:val="00C57A50"/>
    <w:rsid w:val="00C57C69"/>
    <w:rsid w:val="00C57CEE"/>
    <w:rsid w:val="00C57EB3"/>
    <w:rsid w:val="00C61669"/>
    <w:rsid w:val="00C61AE5"/>
    <w:rsid w:val="00C62240"/>
    <w:rsid w:val="00C62298"/>
    <w:rsid w:val="00C633B7"/>
    <w:rsid w:val="00C63E10"/>
    <w:rsid w:val="00C6698D"/>
    <w:rsid w:val="00C6763E"/>
    <w:rsid w:val="00C67CC9"/>
    <w:rsid w:val="00C70B02"/>
    <w:rsid w:val="00C7135E"/>
    <w:rsid w:val="00C719AC"/>
    <w:rsid w:val="00C71CDB"/>
    <w:rsid w:val="00C732BF"/>
    <w:rsid w:val="00C739A6"/>
    <w:rsid w:val="00C74A9C"/>
    <w:rsid w:val="00C74EC8"/>
    <w:rsid w:val="00C75332"/>
    <w:rsid w:val="00C757AC"/>
    <w:rsid w:val="00C757F1"/>
    <w:rsid w:val="00C7697F"/>
    <w:rsid w:val="00C776F1"/>
    <w:rsid w:val="00C77D35"/>
    <w:rsid w:val="00C77F58"/>
    <w:rsid w:val="00C81D46"/>
    <w:rsid w:val="00C83D3C"/>
    <w:rsid w:val="00C84083"/>
    <w:rsid w:val="00C8527F"/>
    <w:rsid w:val="00C871D1"/>
    <w:rsid w:val="00C936F5"/>
    <w:rsid w:val="00C946A2"/>
    <w:rsid w:val="00C947D8"/>
    <w:rsid w:val="00C94E5E"/>
    <w:rsid w:val="00C964D6"/>
    <w:rsid w:val="00C97C05"/>
    <w:rsid w:val="00CA1566"/>
    <w:rsid w:val="00CA1581"/>
    <w:rsid w:val="00CA5929"/>
    <w:rsid w:val="00CA5DA8"/>
    <w:rsid w:val="00CA60C6"/>
    <w:rsid w:val="00CA6306"/>
    <w:rsid w:val="00CA731A"/>
    <w:rsid w:val="00CA7601"/>
    <w:rsid w:val="00CB0378"/>
    <w:rsid w:val="00CB36D2"/>
    <w:rsid w:val="00CB3B5E"/>
    <w:rsid w:val="00CB4326"/>
    <w:rsid w:val="00CB4602"/>
    <w:rsid w:val="00CB4CA5"/>
    <w:rsid w:val="00CB4E71"/>
    <w:rsid w:val="00CB5885"/>
    <w:rsid w:val="00CB5B28"/>
    <w:rsid w:val="00CB5B53"/>
    <w:rsid w:val="00CB6797"/>
    <w:rsid w:val="00CB79F7"/>
    <w:rsid w:val="00CC1809"/>
    <w:rsid w:val="00CC2075"/>
    <w:rsid w:val="00CC2261"/>
    <w:rsid w:val="00CC2328"/>
    <w:rsid w:val="00CC2443"/>
    <w:rsid w:val="00CC4B5E"/>
    <w:rsid w:val="00CC4F3C"/>
    <w:rsid w:val="00CC684A"/>
    <w:rsid w:val="00CD2749"/>
    <w:rsid w:val="00CD2A17"/>
    <w:rsid w:val="00CD3634"/>
    <w:rsid w:val="00CD384A"/>
    <w:rsid w:val="00CD39CC"/>
    <w:rsid w:val="00CD57C6"/>
    <w:rsid w:val="00CD5A58"/>
    <w:rsid w:val="00CD6EC9"/>
    <w:rsid w:val="00CD7E2A"/>
    <w:rsid w:val="00CE041C"/>
    <w:rsid w:val="00CE0903"/>
    <w:rsid w:val="00CE245E"/>
    <w:rsid w:val="00CE2743"/>
    <w:rsid w:val="00CE2B6C"/>
    <w:rsid w:val="00CE2B9E"/>
    <w:rsid w:val="00CE352D"/>
    <w:rsid w:val="00CE3A0A"/>
    <w:rsid w:val="00CE4461"/>
    <w:rsid w:val="00CE5753"/>
    <w:rsid w:val="00CE5E42"/>
    <w:rsid w:val="00CE759C"/>
    <w:rsid w:val="00CE770D"/>
    <w:rsid w:val="00CF02B4"/>
    <w:rsid w:val="00CF13B6"/>
    <w:rsid w:val="00CF157B"/>
    <w:rsid w:val="00CF3122"/>
    <w:rsid w:val="00CF3568"/>
    <w:rsid w:val="00CF4437"/>
    <w:rsid w:val="00CF46DF"/>
    <w:rsid w:val="00CF478A"/>
    <w:rsid w:val="00CF4CFA"/>
    <w:rsid w:val="00CF56CF"/>
    <w:rsid w:val="00CF6604"/>
    <w:rsid w:val="00CF72AA"/>
    <w:rsid w:val="00CF769C"/>
    <w:rsid w:val="00CF7AF1"/>
    <w:rsid w:val="00D0092D"/>
    <w:rsid w:val="00D00FC2"/>
    <w:rsid w:val="00D02E0B"/>
    <w:rsid w:val="00D039A9"/>
    <w:rsid w:val="00D03DFC"/>
    <w:rsid w:val="00D04803"/>
    <w:rsid w:val="00D05F2C"/>
    <w:rsid w:val="00D06789"/>
    <w:rsid w:val="00D0687A"/>
    <w:rsid w:val="00D068BA"/>
    <w:rsid w:val="00D06C44"/>
    <w:rsid w:val="00D10D18"/>
    <w:rsid w:val="00D115DB"/>
    <w:rsid w:val="00D1227F"/>
    <w:rsid w:val="00D17481"/>
    <w:rsid w:val="00D17741"/>
    <w:rsid w:val="00D20F9B"/>
    <w:rsid w:val="00D21CCF"/>
    <w:rsid w:val="00D21E44"/>
    <w:rsid w:val="00D226EE"/>
    <w:rsid w:val="00D236C9"/>
    <w:rsid w:val="00D24123"/>
    <w:rsid w:val="00D244A6"/>
    <w:rsid w:val="00D24AF7"/>
    <w:rsid w:val="00D26F88"/>
    <w:rsid w:val="00D27503"/>
    <w:rsid w:val="00D305DF"/>
    <w:rsid w:val="00D313EA"/>
    <w:rsid w:val="00D33FFC"/>
    <w:rsid w:val="00D36307"/>
    <w:rsid w:val="00D3721A"/>
    <w:rsid w:val="00D3766F"/>
    <w:rsid w:val="00D378C5"/>
    <w:rsid w:val="00D416E6"/>
    <w:rsid w:val="00D4300D"/>
    <w:rsid w:val="00D43352"/>
    <w:rsid w:val="00D4465C"/>
    <w:rsid w:val="00D46FA0"/>
    <w:rsid w:val="00D471E8"/>
    <w:rsid w:val="00D47792"/>
    <w:rsid w:val="00D47CBC"/>
    <w:rsid w:val="00D47D90"/>
    <w:rsid w:val="00D513A7"/>
    <w:rsid w:val="00D51F93"/>
    <w:rsid w:val="00D52F10"/>
    <w:rsid w:val="00D5397D"/>
    <w:rsid w:val="00D5426C"/>
    <w:rsid w:val="00D54833"/>
    <w:rsid w:val="00D56C05"/>
    <w:rsid w:val="00D56E5C"/>
    <w:rsid w:val="00D575A4"/>
    <w:rsid w:val="00D60C01"/>
    <w:rsid w:val="00D61251"/>
    <w:rsid w:val="00D61BAC"/>
    <w:rsid w:val="00D6296E"/>
    <w:rsid w:val="00D630EB"/>
    <w:rsid w:val="00D63636"/>
    <w:rsid w:val="00D6383F"/>
    <w:rsid w:val="00D638D0"/>
    <w:rsid w:val="00D657E0"/>
    <w:rsid w:val="00D65B08"/>
    <w:rsid w:val="00D65FFB"/>
    <w:rsid w:val="00D663FF"/>
    <w:rsid w:val="00D67BFA"/>
    <w:rsid w:val="00D67CAA"/>
    <w:rsid w:val="00D70557"/>
    <w:rsid w:val="00D70B02"/>
    <w:rsid w:val="00D70C89"/>
    <w:rsid w:val="00D70D30"/>
    <w:rsid w:val="00D71CDA"/>
    <w:rsid w:val="00D72F74"/>
    <w:rsid w:val="00D743C7"/>
    <w:rsid w:val="00D752A5"/>
    <w:rsid w:val="00D7591C"/>
    <w:rsid w:val="00D7764D"/>
    <w:rsid w:val="00D77880"/>
    <w:rsid w:val="00D77EA7"/>
    <w:rsid w:val="00D8288F"/>
    <w:rsid w:val="00D83280"/>
    <w:rsid w:val="00D85395"/>
    <w:rsid w:val="00D86242"/>
    <w:rsid w:val="00D873E8"/>
    <w:rsid w:val="00D87955"/>
    <w:rsid w:val="00D87CF8"/>
    <w:rsid w:val="00D90138"/>
    <w:rsid w:val="00D91797"/>
    <w:rsid w:val="00D92382"/>
    <w:rsid w:val="00D928D1"/>
    <w:rsid w:val="00D92B2C"/>
    <w:rsid w:val="00D932DC"/>
    <w:rsid w:val="00D93B12"/>
    <w:rsid w:val="00D9479A"/>
    <w:rsid w:val="00D95368"/>
    <w:rsid w:val="00DA0834"/>
    <w:rsid w:val="00DA1AFE"/>
    <w:rsid w:val="00DA1D69"/>
    <w:rsid w:val="00DA1DE5"/>
    <w:rsid w:val="00DA28C5"/>
    <w:rsid w:val="00DA2B2E"/>
    <w:rsid w:val="00DA3870"/>
    <w:rsid w:val="00DA5F17"/>
    <w:rsid w:val="00DA66D7"/>
    <w:rsid w:val="00DA6F95"/>
    <w:rsid w:val="00DA7891"/>
    <w:rsid w:val="00DA7911"/>
    <w:rsid w:val="00DA7924"/>
    <w:rsid w:val="00DA7A66"/>
    <w:rsid w:val="00DB045C"/>
    <w:rsid w:val="00DB1217"/>
    <w:rsid w:val="00DB17CB"/>
    <w:rsid w:val="00DB1C5D"/>
    <w:rsid w:val="00DB237B"/>
    <w:rsid w:val="00DB2386"/>
    <w:rsid w:val="00DB28F5"/>
    <w:rsid w:val="00DB2A23"/>
    <w:rsid w:val="00DB3651"/>
    <w:rsid w:val="00DB37D2"/>
    <w:rsid w:val="00DB3B3B"/>
    <w:rsid w:val="00DB4443"/>
    <w:rsid w:val="00DB4AB1"/>
    <w:rsid w:val="00DB4C70"/>
    <w:rsid w:val="00DB64AD"/>
    <w:rsid w:val="00DB66E2"/>
    <w:rsid w:val="00DB67D4"/>
    <w:rsid w:val="00DC0B0B"/>
    <w:rsid w:val="00DC130A"/>
    <w:rsid w:val="00DC1C4D"/>
    <w:rsid w:val="00DC2DE3"/>
    <w:rsid w:val="00DC2E15"/>
    <w:rsid w:val="00DC6517"/>
    <w:rsid w:val="00DC737C"/>
    <w:rsid w:val="00DD0BDA"/>
    <w:rsid w:val="00DD1675"/>
    <w:rsid w:val="00DD2F50"/>
    <w:rsid w:val="00DD41A4"/>
    <w:rsid w:val="00DD624D"/>
    <w:rsid w:val="00DD6889"/>
    <w:rsid w:val="00DD6BD6"/>
    <w:rsid w:val="00DE022B"/>
    <w:rsid w:val="00DE0A3D"/>
    <w:rsid w:val="00DE2436"/>
    <w:rsid w:val="00DE34A8"/>
    <w:rsid w:val="00DE3C15"/>
    <w:rsid w:val="00DE6195"/>
    <w:rsid w:val="00DE6993"/>
    <w:rsid w:val="00DE7F45"/>
    <w:rsid w:val="00DF05DD"/>
    <w:rsid w:val="00DF0712"/>
    <w:rsid w:val="00DF1C45"/>
    <w:rsid w:val="00DF1FA7"/>
    <w:rsid w:val="00DF3344"/>
    <w:rsid w:val="00DF3D71"/>
    <w:rsid w:val="00DF3D97"/>
    <w:rsid w:val="00DF43AF"/>
    <w:rsid w:val="00DF47B6"/>
    <w:rsid w:val="00DF67CB"/>
    <w:rsid w:val="00DF72BD"/>
    <w:rsid w:val="00E00DA6"/>
    <w:rsid w:val="00E04177"/>
    <w:rsid w:val="00E04263"/>
    <w:rsid w:val="00E05D31"/>
    <w:rsid w:val="00E074B8"/>
    <w:rsid w:val="00E0780C"/>
    <w:rsid w:val="00E101E2"/>
    <w:rsid w:val="00E1140A"/>
    <w:rsid w:val="00E1208E"/>
    <w:rsid w:val="00E12609"/>
    <w:rsid w:val="00E1361E"/>
    <w:rsid w:val="00E13BF1"/>
    <w:rsid w:val="00E140F2"/>
    <w:rsid w:val="00E14A08"/>
    <w:rsid w:val="00E14F45"/>
    <w:rsid w:val="00E16DB7"/>
    <w:rsid w:val="00E17CF3"/>
    <w:rsid w:val="00E204AC"/>
    <w:rsid w:val="00E20F09"/>
    <w:rsid w:val="00E21DB3"/>
    <w:rsid w:val="00E22A5A"/>
    <w:rsid w:val="00E2408D"/>
    <w:rsid w:val="00E249BD"/>
    <w:rsid w:val="00E24B08"/>
    <w:rsid w:val="00E24C51"/>
    <w:rsid w:val="00E24D6C"/>
    <w:rsid w:val="00E26287"/>
    <w:rsid w:val="00E271A3"/>
    <w:rsid w:val="00E302B0"/>
    <w:rsid w:val="00E306FE"/>
    <w:rsid w:val="00E30DC8"/>
    <w:rsid w:val="00E31774"/>
    <w:rsid w:val="00E31F3A"/>
    <w:rsid w:val="00E32B31"/>
    <w:rsid w:val="00E33F51"/>
    <w:rsid w:val="00E34AC2"/>
    <w:rsid w:val="00E353F4"/>
    <w:rsid w:val="00E369C1"/>
    <w:rsid w:val="00E37C1C"/>
    <w:rsid w:val="00E400D3"/>
    <w:rsid w:val="00E405A1"/>
    <w:rsid w:val="00E40C14"/>
    <w:rsid w:val="00E40E81"/>
    <w:rsid w:val="00E41E48"/>
    <w:rsid w:val="00E41EE2"/>
    <w:rsid w:val="00E42975"/>
    <w:rsid w:val="00E43397"/>
    <w:rsid w:val="00E4377E"/>
    <w:rsid w:val="00E4381F"/>
    <w:rsid w:val="00E43B47"/>
    <w:rsid w:val="00E43CF7"/>
    <w:rsid w:val="00E45876"/>
    <w:rsid w:val="00E468B1"/>
    <w:rsid w:val="00E46B76"/>
    <w:rsid w:val="00E47235"/>
    <w:rsid w:val="00E517ED"/>
    <w:rsid w:val="00E51DD5"/>
    <w:rsid w:val="00E546D2"/>
    <w:rsid w:val="00E551C7"/>
    <w:rsid w:val="00E551CB"/>
    <w:rsid w:val="00E55DD6"/>
    <w:rsid w:val="00E563F9"/>
    <w:rsid w:val="00E606BA"/>
    <w:rsid w:val="00E61585"/>
    <w:rsid w:val="00E616B8"/>
    <w:rsid w:val="00E62585"/>
    <w:rsid w:val="00E6258F"/>
    <w:rsid w:val="00E6275A"/>
    <w:rsid w:val="00E62EB3"/>
    <w:rsid w:val="00E63124"/>
    <w:rsid w:val="00E63F05"/>
    <w:rsid w:val="00E64C1E"/>
    <w:rsid w:val="00E67991"/>
    <w:rsid w:val="00E70462"/>
    <w:rsid w:val="00E70548"/>
    <w:rsid w:val="00E70A88"/>
    <w:rsid w:val="00E70C2F"/>
    <w:rsid w:val="00E72287"/>
    <w:rsid w:val="00E72A0C"/>
    <w:rsid w:val="00E73142"/>
    <w:rsid w:val="00E73209"/>
    <w:rsid w:val="00E73308"/>
    <w:rsid w:val="00E7423E"/>
    <w:rsid w:val="00E74A3B"/>
    <w:rsid w:val="00E74DF3"/>
    <w:rsid w:val="00E753E7"/>
    <w:rsid w:val="00E75D00"/>
    <w:rsid w:val="00E760A6"/>
    <w:rsid w:val="00E762F8"/>
    <w:rsid w:val="00E76773"/>
    <w:rsid w:val="00E7678B"/>
    <w:rsid w:val="00E76B7A"/>
    <w:rsid w:val="00E803DA"/>
    <w:rsid w:val="00E82051"/>
    <w:rsid w:val="00E827D7"/>
    <w:rsid w:val="00E8285B"/>
    <w:rsid w:val="00E83175"/>
    <w:rsid w:val="00E83770"/>
    <w:rsid w:val="00E83BDA"/>
    <w:rsid w:val="00E83CC9"/>
    <w:rsid w:val="00E8545D"/>
    <w:rsid w:val="00E8620D"/>
    <w:rsid w:val="00E86E66"/>
    <w:rsid w:val="00E8743D"/>
    <w:rsid w:val="00E91395"/>
    <w:rsid w:val="00E918E5"/>
    <w:rsid w:val="00E9191C"/>
    <w:rsid w:val="00E91DFF"/>
    <w:rsid w:val="00E921ED"/>
    <w:rsid w:val="00E9246B"/>
    <w:rsid w:val="00E934D8"/>
    <w:rsid w:val="00E93AC3"/>
    <w:rsid w:val="00E94B50"/>
    <w:rsid w:val="00E9669A"/>
    <w:rsid w:val="00E96A55"/>
    <w:rsid w:val="00EA253F"/>
    <w:rsid w:val="00EA2CB8"/>
    <w:rsid w:val="00EA2EB7"/>
    <w:rsid w:val="00EA3ECF"/>
    <w:rsid w:val="00EA40C5"/>
    <w:rsid w:val="00EA469E"/>
    <w:rsid w:val="00EA47FF"/>
    <w:rsid w:val="00EB0D06"/>
    <w:rsid w:val="00EB16B7"/>
    <w:rsid w:val="00EB207F"/>
    <w:rsid w:val="00EB29E2"/>
    <w:rsid w:val="00EB3DF0"/>
    <w:rsid w:val="00EB6040"/>
    <w:rsid w:val="00EB75B7"/>
    <w:rsid w:val="00EC0A5E"/>
    <w:rsid w:val="00EC0C51"/>
    <w:rsid w:val="00EC14B1"/>
    <w:rsid w:val="00EC4BD8"/>
    <w:rsid w:val="00EC4D3B"/>
    <w:rsid w:val="00EC5486"/>
    <w:rsid w:val="00EC6330"/>
    <w:rsid w:val="00EC6385"/>
    <w:rsid w:val="00EC71C8"/>
    <w:rsid w:val="00ED18A3"/>
    <w:rsid w:val="00ED2344"/>
    <w:rsid w:val="00ED2A37"/>
    <w:rsid w:val="00ED2FFA"/>
    <w:rsid w:val="00ED4763"/>
    <w:rsid w:val="00ED57DA"/>
    <w:rsid w:val="00ED5962"/>
    <w:rsid w:val="00ED6679"/>
    <w:rsid w:val="00EE001E"/>
    <w:rsid w:val="00EE0A2A"/>
    <w:rsid w:val="00EE1510"/>
    <w:rsid w:val="00EE1D52"/>
    <w:rsid w:val="00EE21FC"/>
    <w:rsid w:val="00EE26A6"/>
    <w:rsid w:val="00EE31CD"/>
    <w:rsid w:val="00EE336D"/>
    <w:rsid w:val="00EE3412"/>
    <w:rsid w:val="00EE38E0"/>
    <w:rsid w:val="00EE3A42"/>
    <w:rsid w:val="00EE3AE1"/>
    <w:rsid w:val="00EE55F8"/>
    <w:rsid w:val="00EE5718"/>
    <w:rsid w:val="00EE6C67"/>
    <w:rsid w:val="00EF071E"/>
    <w:rsid w:val="00EF1563"/>
    <w:rsid w:val="00EF195F"/>
    <w:rsid w:val="00EF36A7"/>
    <w:rsid w:val="00EF4AF8"/>
    <w:rsid w:val="00EF5742"/>
    <w:rsid w:val="00EF574D"/>
    <w:rsid w:val="00EF6B3F"/>
    <w:rsid w:val="00EF6C3A"/>
    <w:rsid w:val="00EF6F93"/>
    <w:rsid w:val="00EF70D0"/>
    <w:rsid w:val="00F01BF9"/>
    <w:rsid w:val="00F01DD8"/>
    <w:rsid w:val="00F01E5A"/>
    <w:rsid w:val="00F04C17"/>
    <w:rsid w:val="00F04C6A"/>
    <w:rsid w:val="00F067DC"/>
    <w:rsid w:val="00F07CBE"/>
    <w:rsid w:val="00F10F4E"/>
    <w:rsid w:val="00F11A43"/>
    <w:rsid w:val="00F11C58"/>
    <w:rsid w:val="00F14D5D"/>
    <w:rsid w:val="00F15A85"/>
    <w:rsid w:val="00F1632A"/>
    <w:rsid w:val="00F17942"/>
    <w:rsid w:val="00F1798F"/>
    <w:rsid w:val="00F2028C"/>
    <w:rsid w:val="00F2134F"/>
    <w:rsid w:val="00F21350"/>
    <w:rsid w:val="00F21922"/>
    <w:rsid w:val="00F222FB"/>
    <w:rsid w:val="00F229BC"/>
    <w:rsid w:val="00F23346"/>
    <w:rsid w:val="00F2499C"/>
    <w:rsid w:val="00F24EEE"/>
    <w:rsid w:val="00F250F7"/>
    <w:rsid w:val="00F26E03"/>
    <w:rsid w:val="00F303B8"/>
    <w:rsid w:val="00F3090A"/>
    <w:rsid w:val="00F34057"/>
    <w:rsid w:val="00F358CA"/>
    <w:rsid w:val="00F36DB2"/>
    <w:rsid w:val="00F372A3"/>
    <w:rsid w:val="00F3752A"/>
    <w:rsid w:val="00F402E8"/>
    <w:rsid w:val="00F4293D"/>
    <w:rsid w:val="00F42FAF"/>
    <w:rsid w:val="00F449A8"/>
    <w:rsid w:val="00F45577"/>
    <w:rsid w:val="00F46FBB"/>
    <w:rsid w:val="00F47370"/>
    <w:rsid w:val="00F47C1A"/>
    <w:rsid w:val="00F53B95"/>
    <w:rsid w:val="00F54E01"/>
    <w:rsid w:val="00F5611F"/>
    <w:rsid w:val="00F56247"/>
    <w:rsid w:val="00F6053A"/>
    <w:rsid w:val="00F6101B"/>
    <w:rsid w:val="00F61246"/>
    <w:rsid w:val="00F64D6B"/>
    <w:rsid w:val="00F64E3B"/>
    <w:rsid w:val="00F67E68"/>
    <w:rsid w:val="00F70C30"/>
    <w:rsid w:val="00F713E0"/>
    <w:rsid w:val="00F71B95"/>
    <w:rsid w:val="00F72209"/>
    <w:rsid w:val="00F7228D"/>
    <w:rsid w:val="00F72CCB"/>
    <w:rsid w:val="00F733E6"/>
    <w:rsid w:val="00F73F66"/>
    <w:rsid w:val="00F7502D"/>
    <w:rsid w:val="00F75EA7"/>
    <w:rsid w:val="00F7609E"/>
    <w:rsid w:val="00F76EC5"/>
    <w:rsid w:val="00F7701D"/>
    <w:rsid w:val="00F777CE"/>
    <w:rsid w:val="00F809C0"/>
    <w:rsid w:val="00F82808"/>
    <w:rsid w:val="00F82C95"/>
    <w:rsid w:val="00F82FC0"/>
    <w:rsid w:val="00F83927"/>
    <w:rsid w:val="00F83AC5"/>
    <w:rsid w:val="00F83FC1"/>
    <w:rsid w:val="00F8524C"/>
    <w:rsid w:val="00F85E97"/>
    <w:rsid w:val="00F863E6"/>
    <w:rsid w:val="00F8652C"/>
    <w:rsid w:val="00F900F1"/>
    <w:rsid w:val="00F90AEF"/>
    <w:rsid w:val="00F90BC0"/>
    <w:rsid w:val="00F9105A"/>
    <w:rsid w:val="00F91143"/>
    <w:rsid w:val="00F92A3B"/>
    <w:rsid w:val="00F93674"/>
    <w:rsid w:val="00F94626"/>
    <w:rsid w:val="00F959F0"/>
    <w:rsid w:val="00F95BCC"/>
    <w:rsid w:val="00F96F81"/>
    <w:rsid w:val="00F9793E"/>
    <w:rsid w:val="00FA29FD"/>
    <w:rsid w:val="00FA3116"/>
    <w:rsid w:val="00FA373F"/>
    <w:rsid w:val="00FA4BFD"/>
    <w:rsid w:val="00FA4F29"/>
    <w:rsid w:val="00FA55F3"/>
    <w:rsid w:val="00FA5770"/>
    <w:rsid w:val="00FA70AF"/>
    <w:rsid w:val="00FA7802"/>
    <w:rsid w:val="00FA7A2A"/>
    <w:rsid w:val="00FB1ED8"/>
    <w:rsid w:val="00FB2550"/>
    <w:rsid w:val="00FB269D"/>
    <w:rsid w:val="00FB3C33"/>
    <w:rsid w:val="00FB4300"/>
    <w:rsid w:val="00FB4886"/>
    <w:rsid w:val="00FB5E94"/>
    <w:rsid w:val="00FB638D"/>
    <w:rsid w:val="00FB709D"/>
    <w:rsid w:val="00FC0BDA"/>
    <w:rsid w:val="00FC12BE"/>
    <w:rsid w:val="00FC2065"/>
    <w:rsid w:val="00FC23A6"/>
    <w:rsid w:val="00FC413A"/>
    <w:rsid w:val="00FC5659"/>
    <w:rsid w:val="00FC745E"/>
    <w:rsid w:val="00FD026A"/>
    <w:rsid w:val="00FD087F"/>
    <w:rsid w:val="00FD0AD4"/>
    <w:rsid w:val="00FD10A2"/>
    <w:rsid w:val="00FD1790"/>
    <w:rsid w:val="00FD252D"/>
    <w:rsid w:val="00FD358C"/>
    <w:rsid w:val="00FD43C8"/>
    <w:rsid w:val="00FD4863"/>
    <w:rsid w:val="00FD4997"/>
    <w:rsid w:val="00FD580B"/>
    <w:rsid w:val="00FD5F3E"/>
    <w:rsid w:val="00FE1DA8"/>
    <w:rsid w:val="00FE3B18"/>
    <w:rsid w:val="00FE5066"/>
    <w:rsid w:val="00FE52AF"/>
    <w:rsid w:val="00FE5BF1"/>
    <w:rsid w:val="00FE6E86"/>
    <w:rsid w:val="00FE7443"/>
    <w:rsid w:val="00FF1505"/>
    <w:rsid w:val="00FF1753"/>
    <w:rsid w:val="00FF2195"/>
    <w:rsid w:val="00FF26BD"/>
    <w:rsid w:val="00FF284A"/>
    <w:rsid w:val="00FF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C2AC"/>
  <w15:docId w15:val="{1356BDAF-DD23-468B-979D-76F61E43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6C"/>
    <w:pPr>
      <w:ind w:left="720"/>
      <w:contextualSpacing/>
    </w:pPr>
  </w:style>
  <w:style w:type="paragraph" w:styleId="Header">
    <w:name w:val="header"/>
    <w:basedOn w:val="Normal"/>
    <w:link w:val="HeaderChar"/>
    <w:uiPriority w:val="99"/>
    <w:unhideWhenUsed/>
    <w:rsid w:val="00D5426C"/>
    <w:pPr>
      <w:tabs>
        <w:tab w:val="center" w:pos="4844"/>
        <w:tab w:val="right" w:pos="9689"/>
      </w:tabs>
    </w:pPr>
  </w:style>
  <w:style w:type="character" w:customStyle="1" w:styleId="HeaderChar">
    <w:name w:val="Header Char"/>
    <w:basedOn w:val="DefaultParagraphFont"/>
    <w:link w:val="Header"/>
    <w:uiPriority w:val="99"/>
    <w:rsid w:val="00D542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6C"/>
    <w:pPr>
      <w:tabs>
        <w:tab w:val="center" w:pos="4844"/>
        <w:tab w:val="right" w:pos="9689"/>
      </w:tabs>
    </w:pPr>
  </w:style>
  <w:style w:type="character" w:customStyle="1" w:styleId="FooterChar">
    <w:name w:val="Footer Char"/>
    <w:basedOn w:val="DefaultParagraphFont"/>
    <w:link w:val="Footer"/>
    <w:uiPriority w:val="99"/>
    <w:rsid w:val="00D5426C"/>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115DB"/>
    <w:rPr>
      <w:sz w:val="16"/>
      <w:szCs w:val="16"/>
    </w:rPr>
  </w:style>
  <w:style w:type="paragraph" w:styleId="CommentText">
    <w:name w:val="annotation text"/>
    <w:basedOn w:val="Normal"/>
    <w:link w:val="CommentTextChar"/>
    <w:uiPriority w:val="99"/>
    <w:unhideWhenUsed/>
    <w:rsid w:val="00D115DB"/>
    <w:rPr>
      <w:sz w:val="20"/>
      <w:szCs w:val="20"/>
    </w:rPr>
  </w:style>
  <w:style w:type="character" w:customStyle="1" w:styleId="CommentTextChar">
    <w:name w:val="Comment Text Char"/>
    <w:basedOn w:val="DefaultParagraphFont"/>
    <w:link w:val="CommentText"/>
    <w:uiPriority w:val="99"/>
    <w:rsid w:val="00D11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DB"/>
    <w:rPr>
      <w:b/>
      <w:bCs/>
    </w:rPr>
  </w:style>
  <w:style w:type="character" w:customStyle="1" w:styleId="CommentSubjectChar">
    <w:name w:val="Comment Subject Char"/>
    <w:basedOn w:val="CommentTextChar"/>
    <w:link w:val="CommentSubject"/>
    <w:uiPriority w:val="99"/>
    <w:semiHidden/>
    <w:rsid w:val="00D11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B"/>
    <w:rPr>
      <w:rFonts w:ascii="Segoe UI" w:eastAsia="Times New Roman" w:hAnsi="Segoe UI" w:cs="Segoe UI"/>
      <w:sz w:val="18"/>
      <w:szCs w:val="18"/>
    </w:rPr>
  </w:style>
  <w:style w:type="paragraph" w:customStyle="1" w:styleId="rg">
    <w:name w:val="rg"/>
    <w:basedOn w:val="Normal"/>
    <w:rsid w:val="007E66E2"/>
    <w:pPr>
      <w:spacing w:before="100" w:beforeAutospacing="1" w:after="100" w:afterAutospacing="1"/>
    </w:pPr>
  </w:style>
  <w:style w:type="paragraph" w:customStyle="1" w:styleId="norm">
    <w:name w:val="norm"/>
    <w:basedOn w:val="Normal"/>
    <w:rsid w:val="00C30688"/>
    <w:pPr>
      <w:spacing w:before="100" w:beforeAutospacing="1" w:after="100" w:afterAutospacing="1"/>
    </w:pPr>
  </w:style>
  <w:style w:type="paragraph" w:customStyle="1" w:styleId="modref">
    <w:name w:val="modref"/>
    <w:basedOn w:val="Normal"/>
    <w:rsid w:val="00A20AB2"/>
    <w:pPr>
      <w:spacing w:before="100" w:beforeAutospacing="1" w:after="100" w:afterAutospacing="1"/>
    </w:pPr>
  </w:style>
  <w:style w:type="character" w:styleId="Hyperlink">
    <w:name w:val="Hyperlink"/>
    <w:basedOn w:val="DefaultParagraphFont"/>
    <w:uiPriority w:val="99"/>
    <w:unhideWhenUsed/>
    <w:rsid w:val="00A20AB2"/>
    <w:rPr>
      <w:color w:val="0000FF"/>
      <w:u w:val="single"/>
    </w:rPr>
  </w:style>
  <w:style w:type="paragraph" w:customStyle="1" w:styleId="tt">
    <w:name w:val="tt"/>
    <w:basedOn w:val="Normal"/>
    <w:rsid w:val="00AC015E"/>
    <w:pPr>
      <w:spacing w:before="100" w:beforeAutospacing="1" w:after="100" w:afterAutospacing="1"/>
    </w:pPr>
  </w:style>
  <w:style w:type="paragraph" w:customStyle="1" w:styleId="cn">
    <w:name w:val="cn"/>
    <w:basedOn w:val="Normal"/>
    <w:rsid w:val="00AC015E"/>
    <w:pPr>
      <w:spacing w:before="100" w:beforeAutospacing="1" w:after="100" w:afterAutospacing="1"/>
    </w:pPr>
  </w:style>
  <w:style w:type="paragraph" w:styleId="NormalWeb">
    <w:name w:val="Normal (Web)"/>
    <w:basedOn w:val="Normal"/>
    <w:uiPriority w:val="99"/>
    <w:semiHidden/>
    <w:unhideWhenUsed/>
    <w:rsid w:val="00AC015E"/>
    <w:pPr>
      <w:spacing w:before="100" w:beforeAutospacing="1" w:after="100" w:afterAutospacing="1"/>
    </w:pPr>
  </w:style>
  <w:style w:type="paragraph" w:customStyle="1" w:styleId="pb">
    <w:name w:val="pb"/>
    <w:basedOn w:val="Normal"/>
    <w:rsid w:val="00AC015E"/>
    <w:pPr>
      <w:spacing w:before="100" w:beforeAutospacing="1" w:after="100" w:afterAutospacing="1"/>
    </w:pPr>
  </w:style>
  <w:style w:type="paragraph" w:customStyle="1" w:styleId="Default">
    <w:name w:val="Default"/>
    <w:rsid w:val="00832189"/>
    <w:pPr>
      <w:autoSpaceDE w:val="0"/>
      <w:autoSpaceDN w:val="0"/>
      <w:adjustRightInd w:val="0"/>
      <w:spacing w:after="0" w:line="240" w:lineRule="auto"/>
    </w:pPr>
    <w:rPr>
      <w:rFonts w:ascii="Calibri" w:hAnsi="Calibri" w:cs="Calibri"/>
      <w:color w:val="000000"/>
      <w:sz w:val="24"/>
      <w:szCs w:val="24"/>
      <w:lang w:val="ro-MD"/>
    </w:rPr>
  </w:style>
  <w:style w:type="paragraph" w:styleId="Revision">
    <w:name w:val="Revision"/>
    <w:hidden/>
    <w:uiPriority w:val="99"/>
    <w:semiHidden/>
    <w:rsid w:val="0083218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8CF"/>
    <w:rPr>
      <w:color w:val="605E5C"/>
      <w:shd w:val="clear" w:color="auto" w:fill="E1DFDD"/>
    </w:rPr>
  </w:style>
  <w:style w:type="character" w:styleId="FollowedHyperlink">
    <w:name w:val="FollowedHyperlink"/>
    <w:basedOn w:val="DefaultParagraphFont"/>
    <w:uiPriority w:val="99"/>
    <w:semiHidden/>
    <w:unhideWhenUsed/>
    <w:rsid w:val="007C2FA9"/>
    <w:rPr>
      <w:color w:val="954F72" w:themeColor="followedHyperlink"/>
      <w:u w:val="single"/>
    </w:rPr>
  </w:style>
  <w:style w:type="paragraph" w:customStyle="1" w:styleId="msonormal0">
    <w:name w:val="msonormal"/>
    <w:basedOn w:val="Normal"/>
    <w:rsid w:val="00BE0158"/>
    <w:pPr>
      <w:spacing w:before="100" w:beforeAutospacing="1" w:after="100" w:afterAutospacing="1"/>
    </w:pPr>
    <w:rPr>
      <w:lang w:val="ro-MD" w:eastAsia="ro-MD"/>
      <w14:ligatures w14:val="standardContextual"/>
    </w:rPr>
  </w:style>
  <w:style w:type="character" w:styleId="PlaceholderText">
    <w:name w:val="Placeholder Text"/>
    <w:basedOn w:val="DefaultParagraphFont"/>
    <w:uiPriority w:val="99"/>
    <w:semiHidden/>
    <w:rsid w:val="008453ED"/>
    <w:rPr>
      <w:color w:val="808080"/>
    </w:rPr>
  </w:style>
  <w:style w:type="character" w:customStyle="1" w:styleId="subscript">
    <w:name w:val="subscript"/>
    <w:basedOn w:val="DefaultParagraphFont"/>
    <w:rsid w:val="006F667E"/>
  </w:style>
  <w:style w:type="paragraph" w:customStyle="1" w:styleId="title-table">
    <w:name w:val="title-table"/>
    <w:basedOn w:val="Normal"/>
    <w:rsid w:val="006F667E"/>
    <w:pPr>
      <w:spacing w:before="100" w:beforeAutospacing="1" w:after="100" w:afterAutospacing="1"/>
    </w:pPr>
    <w:rPr>
      <w:lang w:val="ro-MD" w:eastAsia="ro-MD"/>
      <w14:ligatures w14:val="standardContextual"/>
    </w:rPr>
  </w:style>
  <w:style w:type="paragraph" w:customStyle="1" w:styleId="tbl-norm">
    <w:name w:val="tbl-norm"/>
    <w:basedOn w:val="Normal"/>
    <w:rsid w:val="006F667E"/>
    <w:pPr>
      <w:spacing w:before="100" w:beforeAutospacing="1" w:after="100" w:afterAutospacing="1"/>
    </w:pPr>
    <w:rPr>
      <w:lang w:val="ro-MD" w:eastAsia="ro-MD"/>
      <w14:ligatures w14:val="standardContextual"/>
    </w:rPr>
  </w:style>
  <w:style w:type="paragraph" w:customStyle="1" w:styleId="title-article-norm">
    <w:name w:val="title-article-norm"/>
    <w:basedOn w:val="Normal"/>
    <w:rsid w:val="006F667E"/>
    <w:pPr>
      <w:spacing w:before="100" w:beforeAutospacing="1" w:after="100" w:afterAutospacing="1"/>
    </w:pPr>
    <w:rPr>
      <w:lang w:val="ro-MD" w:eastAsia="ro-MD"/>
      <w14:ligatures w14:val="standardContextual"/>
    </w:rPr>
  </w:style>
  <w:style w:type="paragraph" w:customStyle="1" w:styleId="dlist-term">
    <w:name w:val="dlist-term"/>
    <w:basedOn w:val="Normal"/>
    <w:rsid w:val="006F667E"/>
    <w:pPr>
      <w:spacing w:before="100" w:beforeAutospacing="1" w:after="100" w:afterAutospacing="1"/>
    </w:pPr>
    <w:rPr>
      <w:lang w:val="ro-MD" w:eastAsia="ro-MD"/>
      <w14:ligatures w14:val="standardContextual"/>
    </w:rPr>
  </w:style>
  <w:style w:type="table" w:styleId="TableGrid">
    <w:name w:val="Table Grid"/>
    <w:basedOn w:val="TableNormal"/>
    <w:uiPriority w:val="39"/>
    <w:rsid w:val="001D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2608">
      <w:bodyDiv w:val="1"/>
      <w:marLeft w:val="0"/>
      <w:marRight w:val="0"/>
      <w:marTop w:val="0"/>
      <w:marBottom w:val="0"/>
      <w:divBdr>
        <w:top w:val="none" w:sz="0" w:space="0" w:color="auto"/>
        <w:left w:val="none" w:sz="0" w:space="0" w:color="auto"/>
        <w:bottom w:val="none" w:sz="0" w:space="0" w:color="auto"/>
        <w:right w:val="none" w:sz="0" w:space="0" w:color="auto"/>
      </w:divBdr>
    </w:div>
    <w:div w:id="323433464">
      <w:bodyDiv w:val="1"/>
      <w:marLeft w:val="0"/>
      <w:marRight w:val="0"/>
      <w:marTop w:val="0"/>
      <w:marBottom w:val="0"/>
      <w:divBdr>
        <w:top w:val="none" w:sz="0" w:space="0" w:color="auto"/>
        <w:left w:val="none" w:sz="0" w:space="0" w:color="auto"/>
        <w:bottom w:val="none" w:sz="0" w:space="0" w:color="auto"/>
        <w:right w:val="none" w:sz="0" w:space="0" w:color="auto"/>
      </w:divBdr>
    </w:div>
    <w:div w:id="360018081">
      <w:bodyDiv w:val="1"/>
      <w:marLeft w:val="0"/>
      <w:marRight w:val="0"/>
      <w:marTop w:val="0"/>
      <w:marBottom w:val="0"/>
      <w:divBdr>
        <w:top w:val="none" w:sz="0" w:space="0" w:color="auto"/>
        <w:left w:val="none" w:sz="0" w:space="0" w:color="auto"/>
        <w:bottom w:val="none" w:sz="0" w:space="0" w:color="auto"/>
        <w:right w:val="none" w:sz="0" w:space="0" w:color="auto"/>
      </w:divBdr>
    </w:div>
    <w:div w:id="406996366">
      <w:bodyDiv w:val="1"/>
      <w:marLeft w:val="0"/>
      <w:marRight w:val="0"/>
      <w:marTop w:val="0"/>
      <w:marBottom w:val="0"/>
      <w:divBdr>
        <w:top w:val="none" w:sz="0" w:space="0" w:color="auto"/>
        <w:left w:val="none" w:sz="0" w:space="0" w:color="auto"/>
        <w:bottom w:val="none" w:sz="0" w:space="0" w:color="auto"/>
        <w:right w:val="none" w:sz="0" w:space="0" w:color="auto"/>
      </w:divBdr>
    </w:div>
    <w:div w:id="442765982">
      <w:bodyDiv w:val="1"/>
      <w:marLeft w:val="0"/>
      <w:marRight w:val="0"/>
      <w:marTop w:val="0"/>
      <w:marBottom w:val="0"/>
      <w:divBdr>
        <w:top w:val="none" w:sz="0" w:space="0" w:color="auto"/>
        <w:left w:val="none" w:sz="0" w:space="0" w:color="auto"/>
        <w:bottom w:val="none" w:sz="0" w:space="0" w:color="auto"/>
        <w:right w:val="none" w:sz="0" w:space="0" w:color="auto"/>
      </w:divBdr>
      <w:divsChild>
        <w:div w:id="886406300">
          <w:marLeft w:val="0"/>
          <w:marRight w:val="0"/>
          <w:marTop w:val="0"/>
          <w:marBottom w:val="0"/>
          <w:divBdr>
            <w:top w:val="none" w:sz="0" w:space="0" w:color="auto"/>
            <w:left w:val="none" w:sz="0" w:space="0" w:color="auto"/>
            <w:bottom w:val="none" w:sz="0" w:space="0" w:color="auto"/>
            <w:right w:val="none" w:sz="0" w:space="0" w:color="auto"/>
          </w:divBdr>
        </w:div>
      </w:divsChild>
    </w:div>
    <w:div w:id="452097131">
      <w:bodyDiv w:val="1"/>
      <w:marLeft w:val="0"/>
      <w:marRight w:val="0"/>
      <w:marTop w:val="0"/>
      <w:marBottom w:val="0"/>
      <w:divBdr>
        <w:top w:val="none" w:sz="0" w:space="0" w:color="auto"/>
        <w:left w:val="none" w:sz="0" w:space="0" w:color="auto"/>
        <w:bottom w:val="none" w:sz="0" w:space="0" w:color="auto"/>
        <w:right w:val="none" w:sz="0" w:space="0" w:color="auto"/>
      </w:divBdr>
      <w:divsChild>
        <w:div w:id="1559973173">
          <w:marLeft w:val="0"/>
          <w:marRight w:val="0"/>
          <w:marTop w:val="0"/>
          <w:marBottom w:val="0"/>
          <w:divBdr>
            <w:top w:val="none" w:sz="0" w:space="0" w:color="auto"/>
            <w:left w:val="none" w:sz="0" w:space="0" w:color="auto"/>
            <w:bottom w:val="none" w:sz="0" w:space="0" w:color="auto"/>
            <w:right w:val="none" w:sz="0" w:space="0" w:color="auto"/>
          </w:divBdr>
        </w:div>
      </w:divsChild>
    </w:div>
    <w:div w:id="452406995">
      <w:bodyDiv w:val="1"/>
      <w:marLeft w:val="0"/>
      <w:marRight w:val="0"/>
      <w:marTop w:val="0"/>
      <w:marBottom w:val="0"/>
      <w:divBdr>
        <w:top w:val="none" w:sz="0" w:space="0" w:color="auto"/>
        <w:left w:val="none" w:sz="0" w:space="0" w:color="auto"/>
        <w:bottom w:val="none" w:sz="0" w:space="0" w:color="auto"/>
        <w:right w:val="none" w:sz="0" w:space="0" w:color="auto"/>
      </w:divBdr>
      <w:divsChild>
        <w:div w:id="886524523">
          <w:marLeft w:val="0"/>
          <w:marRight w:val="0"/>
          <w:marTop w:val="0"/>
          <w:marBottom w:val="0"/>
          <w:divBdr>
            <w:top w:val="none" w:sz="0" w:space="0" w:color="auto"/>
            <w:left w:val="none" w:sz="0" w:space="0" w:color="auto"/>
            <w:bottom w:val="none" w:sz="0" w:space="0" w:color="auto"/>
            <w:right w:val="none" w:sz="0" w:space="0" w:color="auto"/>
          </w:divBdr>
          <w:divsChild>
            <w:div w:id="482548612">
              <w:marLeft w:val="0"/>
              <w:marRight w:val="0"/>
              <w:marTop w:val="120"/>
              <w:marBottom w:val="0"/>
              <w:divBdr>
                <w:top w:val="none" w:sz="0" w:space="0" w:color="auto"/>
                <w:left w:val="none" w:sz="0" w:space="0" w:color="auto"/>
                <w:bottom w:val="none" w:sz="0" w:space="0" w:color="auto"/>
                <w:right w:val="none" w:sz="0" w:space="0" w:color="auto"/>
              </w:divBdr>
            </w:div>
            <w:div w:id="974749616">
              <w:marLeft w:val="0"/>
              <w:marRight w:val="0"/>
              <w:marTop w:val="0"/>
              <w:marBottom w:val="0"/>
              <w:divBdr>
                <w:top w:val="none" w:sz="0" w:space="0" w:color="auto"/>
                <w:left w:val="none" w:sz="0" w:space="0" w:color="auto"/>
                <w:bottom w:val="none" w:sz="0" w:space="0" w:color="auto"/>
                <w:right w:val="none" w:sz="0" w:space="0" w:color="auto"/>
              </w:divBdr>
            </w:div>
          </w:divsChild>
        </w:div>
        <w:div w:id="1291324776">
          <w:marLeft w:val="0"/>
          <w:marRight w:val="0"/>
          <w:marTop w:val="0"/>
          <w:marBottom w:val="0"/>
          <w:divBdr>
            <w:top w:val="none" w:sz="0" w:space="0" w:color="auto"/>
            <w:left w:val="none" w:sz="0" w:space="0" w:color="auto"/>
            <w:bottom w:val="none" w:sz="0" w:space="0" w:color="auto"/>
            <w:right w:val="none" w:sz="0" w:space="0" w:color="auto"/>
          </w:divBdr>
          <w:divsChild>
            <w:div w:id="863635632">
              <w:marLeft w:val="0"/>
              <w:marRight w:val="0"/>
              <w:marTop w:val="0"/>
              <w:marBottom w:val="0"/>
              <w:divBdr>
                <w:top w:val="none" w:sz="0" w:space="0" w:color="auto"/>
                <w:left w:val="none" w:sz="0" w:space="0" w:color="auto"/>
                <w:bottom w:val="none" w:sz="0" w:space="0" w:color="auto"/>
                <w:right w:val="none" w:sz="0" w:space="0" w:color="auto"/>
              </w:divBdr>
            </w:div>
            <w:div w:id="1129739280">
              <w:marLeft w:val="0"/>
              <w:marRight w:val="0"/>
              <w:marTop w:val="120"/>
              <w:marBottom w:val="0"/>
              <w:divBdr>
                <w:top w:val="none" w:sz="0" w:space="0" w:color="auto"/>
                <w:left w:val="none" w:sz="0" w:space="0" w:color="auto"/>
                <w:bottom w:val="none" w:sz="0" w:space="0" w:color="auto"/>
                <w:right w:val="none" w:sz="0" w:space="0" w:color="auto"/>
              </w:divBdr>
            </w:div>
          </w:divsChild>
        </w:div>
        <w:div w:id="1575385894">
          <w:marLeft w:val="0"/>
          <w:marRight w:val="0"/>
          <w:marTop w:val="0"/>
          <w:marBottom w:val="0"/>
          <w:divBdr>
            <w:top w:val="none" w:sz="0" w:space="0" w:color="auto"/>
            <w:left w:val="none" w:sz="0" w:space="0" w:color="auto"/>
            <w:bottom w:val="none" w:sz="0" w:space="0" w:color="auto"/>
            <w:right w:val="none" w:sz="0" w:space="0" w:color="auto"/>
          </w:divBdr>
          <w:divsChild>
            <w:div w:id="1570925191">
              <w:marLeft w:val="0"/>
              <w:marRight w:val="0"/>
              <w:marTop w:val="120"/>
              <w:marBottom w:val="0"/>
              <w:divBdr>
                <w:top w:val="none" w:sz="0" w:space="0" w:color="auto"/>
                <w:left w:val="none" w:sz="0" w:space="0" w:color="auto"/>
                <w:bottom w:val="none" w:sz="0" w:space="0" w:color="auto"/>
                <w:right w:val="none" w:sz="0" w:space="0" w:color="auto"/>
              </w:divBdr>
            </w:div>
            <w:div w:id="1740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42879">
      <w:bodyDiv w:val="1"/>
      <w:marLeft w:val="0"/>
      <w:marRight w:val="0"/>
      <w:marTop w:val="0"/>
      <w:marBottom w:val="0"/>
      <w:divBdr>
        <w:top w:val="none" w:sz="0" w:space="0" w:color="auto"/>
        <w:left w:val="none" w:sz="0" w:space="0" w:color="auto"/>
        <w:bottom w:val="none" w:sz="0" w:space="0" w:color="auto"/>
        <w:right w:val="none" w:sz="0" w:space="0" w:color="auto"/>
      </w:divBdr>
      <w:divsChild>
        <w:div w:id="1134565452">
          <w:marLeft w:val="0"/>
          <w:marRight w:val="0"/>
          <w:marTop w:val="0"/>
          <w:marBottom w:val="0"/>
          <w:divBdr>
            <w:top w:val="none" w:sz="0" w:space="0" w:color="auto"/>
            <w:left w:val="none" w:sz="0" w:space="0" w:color="auto"/>
            <w:bottom w:val="none" w:sz="0" w:space="0" w:color="auto"/>
            <w:right w:val="none" w:sz="0" w:space="0" w:color="auto"/>
          </w:divBdr>
        </w:div>
      </w:divsChild>
    </w:div>
    <w:div w:id="515923066">
      <w:bodyDiv w:val="1"/>
      <w:marLeft w:val="0"/>
      <w:marRight w:val="0"/>
      <w:marTop w:val="0"/>
      <w:marBottom w:val="0"/>
      <w:divBdr>
        <w:top w:val="none" w:sz="0" w:space="0" w:color="auto"/>
        <w:left w:val="none" w:sz="0" w:space="0" w:color="auto"/>
        <w:bottom w:val="none" w:sz="0" w:space="0" w:color="auto"/>
        <w:right w:val="none" w:sz="0" w:space="0" w:color="auto"/>
      </w:divBdr>
      <w:divsChild>
        <w:div w:id="1996183142">
          <w:marLeft w:val="0"/>
          <w:marRight w:val="0"/>
          <w:marTop w:val="0"/>
          <w:marBottom w:val="0"/>
          <w:divBdr>
            <w:top w:val="none" w:sz="0" w:space="0" w:color="auto"/>
            <w:left w:val="none" w:sz="0" w:space="0" w:color="auto"/>
            <w:bottom w:val="none" w:sz="0" w:space="0" w:color="auto"/>
            <w:right w:val="none" w:sz="0" w:space="0" w:color="auto"/>
          </w:divBdr>
        </w:div>
      </w:divsChild>
    </w:div>
    <w:div w:id="548960875">
      <w:bodyDiv w:val="1"/>
      <w:marLeft w:val="0"/>
      <w:marRight w:val="0"/>
      <w:marTop w:val="0"/>
      <w:marBottom w:val="0"/>
      <w:divBdr>
        <w:top w:val="none" w:sz="0" w:space="0" w:color="auto"/>
        <w:left w:val="none" w:sz="0" w:space="0" w:color="auto"/>
        <w:bottom w:val="none" w:sz="0" w:space="0" w:color="auto"/>
        <w:right w:val="none" w:sz="0" w:space="0" w:color="auto"/>
      </w:divBdr>
      <w:divsChild>
        <w:div w:id="1819106128">
          <w:marLeft w:val="0"/>
          <w:marRight w:val="0"/>
          <w:marTop w:val="0"/>
          <w:marBottom w:val="0"/>
          <w:divBdr>
            <w:top w:val="none" w:sz="0" w:space="0" w:color="auto"/>
            <w:left w:val="none" w:sz="0" w:space="0" w:color="auto"/>
            <w:bottom w:val="none" w:sz="0" w:space="0" w:color="auto"/>
            <w:right w:val="none" w:sz="0" w:space="0" w:color="auto"/>
          </w:divBdr>
        </w:div>
      </w:divsChild>
    </w:div>
    <w:div w:id="862137246">
      <w:bodyDiv w:val="1"/>
      <w:marLeft w:val="0"/>
      <w:marRight w:val="0"/>
      <w:marTop w:val="0"/>
      <w:marBottom w:val="0"/>
      <w:divBdr>
        <w:top w:val="none" w:sz="0" w:space="0" w:color="auto"/>
        <w:left w:val="none" w:sz="0" w:space="0" w:color="auto"/>
        <w:bottom w:val="none" w:sz="0" w:space="0" w:color="auto"/>
        <w:right w:val="none" w:sz="0" w:space="0" w:color="auto"/>
      </w:divBdr>
      <w:divsChild>
        <w:div w:id="1275402069">
          <w:marLeft w:val="0"/>
          <w:marRight w:val="0"/>
          <w:marTop w:val="0"/>
          <w:marBottom w:val="0"/>
          <w:divBdr>
            <w:top w:val="none" w:sz="0" w:space="0" w:color="auto"/>
            <w:left w:val="none" w:sz="0" w:space="0" w:color="auto"/>
            <w:bottom w:val="none" w:sz="0" w:space="0" w:color="auto"/>
            <w:right w:val="none" w:sz="0" w:space="0" w:color="auto"/>
          </w:divBdr>
        </w:div>
      </w:divsChild>
    </w:div>
    <w:div w:id="1221210516">
      <w:bodyDiv w:val="1"/>
      <w:marLeft w:val="0"/>
      <w:marRight w:val="0"/>
      <w:marTop w:val="0"/>
      <w:marBottom w:val="0"/>
      <w:divBdr>
        <w:top w:val="none" w:sz="0" w:space="0" w:color="auto"/>
        <w:left w:val="none" w:sz="0" w:space="0" w:color="auto"/>
        <w:bottom w:val="none" w:sz="0" w:space="0" w:color="auto"/>
        <w:right w:val="none" w:sz="0" w:space="0" w:color="auto"/>
      </w:divBdr>
    </w:div>
    <w:div w:id="1238899965">
      <w:bodyDiv w:val="1"/>
      <w:marLeft w:val="0"/>
      <w:marRight w:val="0"/>
      <w:marTop w:val="0"/>
      <w:marBottom w:val="0"/>
      <w:divBdr>
        <w:top w:val="none" w:sz="0" w:space="0" w:color="auto"/>
        <w:left w:val="none" w:sz="0" w:space="0" w:color="auto"/>
        <w:bottom w:val="none" w:sz="0" w:space="0" w:color="auto"/>
        <w:right w:val="none" w:sz="0" w:space="0" w:color="auto"/>
      </w:divBdr>
    </w:div>
    <w:div w:id="12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15774675">
          <w:marLeft w:val="0"/>
          <w:marRight w:val="0"/>
          <w:marTop w:val="0"/>
          <w:marBottom w:val="0"/>
          <w:divBdr>
            <w:top w:val="none" w:sz="0" w:space="0" w:color="auto"/>
            <w:left w:val="none" w:sz="0" w:space="0" w:color="auto"/>
            <w:bottom w:val="none" w:sz="0" w:space="0" w:color="auto"/>
            <w:right w:val="none" w:sz="0" w:space="0" w:color="auto"/>
          </w:divBdr>
          <w:divsChild>
            <w:div w:id="345983759">
              <w:marLeft w:val="0"/>
              <w:marRight w:val="0"/>
              <w:marTop w:val="0"/>
              <w:marBottom w:val="0"/>
              <w:divBdr>
                <w:top w:val="none" w:sz="0" w:space="0" w:color="auto"/>
                <w:left w:val="none" w:sz="0" w:space="0" w:color="auto"/>
                <w:bottom w:val="none" w:sz="0" w:space="0" w:color="auto"/>
                <w:right w:val="none" w:sz="0" w:space="0" w:color="auto"/>
              </w:divBdr>
            </w:div>
            <w:div w:id="1332369988">
              <w:marLeft w:val="0"/>
              <w:marRight w:val="0"/>
              <w:marTop w:val="120"/>
              <w:marBottom w:val="0"/>
              <w:divBdr>
                <w:top w:val="none" w:sz="0" w:space="0" w:color="auto"/>
                <w:left w:val="none" w:sz="0" w:space="0" w:color="auto"/>
                <w:bottom w:val="none" w:sz="0" w:space="0" w:color="auto"/>
                <w:right w:val="none" w:sz="0" w:space="0" w:color="auto"/>
              </w:divBdr>
            </w:div>
          </w:divsChild>
        </w:div>
        <w:div w:id="627928388">
          <w:marLeft w:val="0"/>
          <w:marRight w:val="0"/>
          <w:marTop w:val="0"/>
          <w:marBottom w:val="0"/>
          <w:divBdr>
            <w:top w:val="none" w:sz="0" w:space="0" w:color="auto"/>
            <w:left w:val="none" w:sz="0" w:space="0" w:color="auto"/>
            <w:bottom w:val="none" w:sz="0" w:space="0" w:color="auto"/>
            <w:right w:val="none" w:sz="0" w:space="0" w:color="auto"/>
          </w:divBdr>
          <w:divsChild>
            <w:div w:id="1707600">
              <w:marLeft w:val="0"/>
              <w:marRight w:val="0"/>
              <w:marTop w:val="120"/>
              <w:marBottom w:val="0"/>
              <w:divBdr>
                <w:top w:val="none" w:sz="0" w:space="0" w:color="auto"/>
                <w:left w:val="none" w:sz="0" w:space="0" w:color="auto"/>
                <w:bottom w:val="none" w:sz="0" w:space="0" w:color="auto"/>
                <w:right w:val="none" w:sz="0" w:space="0" w:color="auto"/>
              </w:divBdr>
            </w:div>
            <w:div w:id="792483260">
              <w:marLeft w:val="0"/>
              <w:marRight w:val="0"/>
              <w:marTop w:val="0"/>
              <w:marBottom w:val="0"/>
              <w:divBdr>
                <w:top w:val="none" w:sz="0" w:space="0" w:color="auto"/>
                <w:left w:val="none" w:sz="0" w:space="0" w:color="auto"/>
                <w:bottom w:val="none" w:sz="0" w:space="0" w:color="auto"/>
                <w:right w:val="none" w:sz="0" w:space="0" w:color="auto"/>
              </w:divBdr>
            </w:div>
          </w:divsChild>
        </w:div>
        <w:div w:id="789402849">
          <w:marLeft w:val="0"/>
          <w:marRight w:val="0"/>
          <w:marTop w:val="0"/>
          <w:marBottom w:val="0"/>
          <w:divBdr>
            <w:top w:val="none" w:sz="0" w:space="0" w:color="auto"/>
            <w:left w:val="none" w:sz="0" w:space="0" w:color="auto"/>
            <w:bottom w:val="none" w:sz="0" w:space="0" w:color="auto"/>
            <w:right w:val="none" w:sz="0" w:space="0" w:color="auto"/>
          </w:divBdr>
          <w:divsChild>
            <w:div w:id="1306859818">
              <w:marLeft w:val="0"/>
              <w:marRight w:val="0"/>
              <w:marTop w:val="120"/>
              <w:marBottom w:val="0"/>
              <w:divBdr>
                <w:top w:val="none" w:sz="0" w:space="0" w:color="auto"/>
                <w:left w:val="none" w:sz="0" w:space="0" w:color="auto"/>
                <w:bottom w:val="none" w:sz="0" w:space="0" w:color="auto"/>
                <w:right w:val="none" w:sz="0" w:space="0" w:color="auto"/>
              </w:divBdr>
            </w:div>
            <w:div w:id="2125028363">
              <w:marLeft w:val="0"/>
              <w:marRight w:val="0"/>
              <w:marTop w:val="0"/>
              <w:marBottom w:val="0"/>
              <w:divBdr>
                <w:top w:val="none" w:sz="0" w:space="0" w:color="auto"/>
                <w:left w:val="none" w:sz="0" w:space="0" w:color="auto"/>
                <w:bottom w:val="none" w:sz="0" w:space="0" w:color="auto"/>
                <w:right w:val="none" w:sz="0" w:space="0" w:color="auto"/>
              </w:divBdr>
            </w:div>
          </w:divsChild>
        </w:div>
        <w:div w:id="1205630813">
          <w:marLeft w:val="0"/>
          <w:marRight w:val="0"/>
          <w:marTop w:val="0"/>
          <w:marBottom w:val="0"/>
          <w:divBdr>
            <w:top w:val="none" w:sz="0" w:space="0" w:color="auto"/>
            <w:left w:val="none" w:sz="0" w:space="0" w:color="auto"/>
            <w:bottom w:val="none" w:sz="0" w:space="0" w:color="auto"/>
            <w:right w:val="none" w:sz="0" w:space="0" w:color="auto"/>
          </w:divBdr>
          <w:divsChild>
            <w:div w:id="937640139">
              <w:marLeft w:val="0"/>
              <w:marRight w:val="0"/>
              <w:marTop w:val="0"/>
              <w:marBottom w:val="0"/>
              <w:divBdr>
                <w:top w:val="none" w:sz="0" w:space="0" w:color="auto"/>
                <w:left w:val="none" w:sz="0" w:space="0" w:color="auto"/>
                <w:bottom w:val="none" w:sz="0" w:space="0" w:color="auto"/>
                <w:right w:val="none" w:sz="0" w:space="0" w:color="auto"/>
              </w:divBdr>
            </w:div>
            <w:div w:id="1857423672">
              <w:marLeft w:val="0"/>
              <w:marRight w:val="0"/>
              <w:marTop w:val="120"/>
              <w:marBottom w:val="0"/>
              <w:divBdr>
                <w:top w:val="none" w:sz="0" w:space="0" w:color="auto"/>
                <w:left w:val="none" w:sz="0" w:space="0" w:color="auto"/>
                <w:bottom w:val="none" w:sz="0" w:space="0" w:color="auto"/>
                <w:right w:val="none" w:sz="0" w:space="0" w:color="auto"/>
              </w:divBdr>
            </w:div>
          </w:divsChild>
        </w:div>
        <w:div w:id="1436899710">
          <w:marLeft w:val="0"/>
          <w:marRight w:val="0"/>
          <w:marTop w:val="0"/>
          <w:marBottom w:val="0"/>
          <w:divBdr>
            <w:top w:val="none" w:sz="0" w:space="0" w:color="auto"/>
            <w:left w:val="none" w:sz="0" w:space="0" w:color="auto"/>
            <w:bottom w:val="none" w:sz="0" w:space="0" w:color="auto"/>
            <w:right w:val="none" w:sz="0" w:space="0" w:color="auto"/>
          </w:divBdr>
          <w:divsChild>
            <w:div w:id="823668434">
              <w:marLeft w:val="0"/>
              <w:marRight w:val="0"/>
              <w:marTop w:val="0"/>
              <w:marBottom w:val="0"/>
              <w:divBdr>
                <w:top w:val="none" w:sz="0" w:space="0" w:color="auto"/>
                <w:left w:val="none" w:sz="0" w:space="0" w:color="auto"/>
                <w:bottom w:val="none" w:sz="0" w:space="0" w:color="auto"/>
                <w:right w:val="none" w:sz="0" w:space="0" w:color="auto"/>
              </w:divBdr>
            </w:div>
            <w:div w:id="1831209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1320508">
      <w:bodyDiv w:val="1"/>
      <w:marLeft w:val="0"/>
      <w:marRight w:val="0"/>
      <w:marTop w:val="0"/>
      <w:marBottom w:val="0"/>
      <w:divBdr>
        <w:top w:val="none" w:sz="0" w:space="0" w:color="auto"/>
        <w:left w:val="none" w:sz="0" w:space="0" w:color="auto"/>
        <w:bottom w:val="none" w:sz="0" w:space="0" w:color="auto"/>
        <w:right w:val="none" w:sz="0" w:space="0" w:color="auto"/>
      </w:divBdr>
    </w:div>
    <w:div w:id="152262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itus xmlns="http://schemas.titus.com/TitusProperties/">
  <TitusGUID xmlns="">fb7d9dae-0167-49d7-864f-68b392b7c860</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Ludmila V. Andrusceac</DisplayName>
        <AccountId>25</AccountId>
        <AccountType/>
      </UserInfo>
      <UserInfo>
        <DisplayName>Stela E. Cibotari</DisplayName>
        <AccountId>19</AccountId>
        <AccountType/>
      </UserInfo>
    </SharedWithUsers>
  </documentManagement>
</p:properties>
</file>

<file path=customXml/itemProps1.xml><?xml version="1.0" encoding="utf-8"?>
<ds:datastoreItem xmlns:ds="http://schemas.openxmlformats.org/officeDocument/2006/customXml" ds:itemID="{F1F42337-4177-4711-A623-26D912CD93E1}">
  <ds:schemaRefs>
    <ds:schemaRef ds:uri="http://schemas.titus.com/TitusProperties/"/>
    <ds:schemaRef ds:uri=""/>
  </ds:schemaRefs>
</ds:datastoreItem>
</file>

<file path=customXml/itemProps2.xml><?xml version="1.0" encoding="utf-8"?>
<ds:datastoreItem xmlns:ds="http://schemas.openxmlformats.org/officeDocument/2006/customXml" ds:itemID="{B275928B-B1D8-460D-8D87-8509828469A3}">
  <ds:schemaRefs>
    <ds:schemaRef ds:uri="http://schemas.openxmlformats.org/officeDocument/2006/bibliography"/>
  </ds:schemaRefs>
</ds:datastoreItem>
</file>

<file path=customXml/itemProps3.xml><?xml version="1.0" encoding="utf-8"?>
<ds:datastoreItem xmlns:ds="http://schemas.openxmlformats.org/officeDocument/2006/customXml" ds:itemID="{C9C253D8-13C1-4E18-8B2B-F7FF4F84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69A69-586D-4F4B-866D-F992B43875AC}">
  <ds:schemaRefs>
    <ds:schemaRef ds:uri="http://schemas.microsoft.com/sharepoint/v3/contenttype/forms"/>
  </ds:schemaRefs>
</ds:datastoreItem>
</file>

<file path=customXml/itemProps5.xml><?xml version="1.0" encoding="utf-8"?>
<ds:datastoreItem xmlns:ds="http://schemas.openxmlformats.org/officeDocument/2006/customXml" ds:itemID="{DACF8A35-54B4-4A6F-AD8B-B7547FF46A20}">
  <ds:schemaRefs>
    <ds:schemaRef ds:uri="http://schemas.microsoft.com/office/2006/metadata/properties"/>
    <ds:schemaRef ds:uri="http://schemas.microsoft.com/office/infopath/2007/PartnerControls"/>
    <ds:schemaRef ds:uri="ab897e66-8555-453e-a498-d234c2d9a51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10917</Words>
  <Characters>72055</Characters>
  <Application>Microsoft Office Word</Application>
  <DocSecurity>0</DocSecurity>
  <Lines>3132</Lines>
  <Paragraphs>1626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2026-07-13T14:32:00Z</cp:lastPrinted>
  <dcterms:created xsi:type="dcterms:W3CDTF">2026-07-13T14:33:00Z</dcterms:created>
  <dcterms:modified xsi:type="dcterms:W3CDTF">2026-07-13T14:33:00Z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fb7d9dae-0167-49d7-864f-68b392b7c860</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2025-04-28T19:19:10Z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61c21c8d-dfee-4b85-9c5c-0906cc7a9473</vt:lpwstr>
  </property>
  <property fmtid="{D5CDD505-2E9C-101B-9397-08002B2CF9AE}" pid="11" name="MSIP_Label_38962dcf-d39f-4edc-a396-338a56ba9170_ContentBits">
    <vt:lpwstr>0</vt:lpwstr>
  </property>
</Properties>
</file>